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F9" w:rsidRPr="00113857" w:rsidRDefault="006066F9" w:rsidP="006066F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55A398A3" wp14:editId="0023898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9" w:rsidRPr="00113857" w:rsidRDefault="006066F9" w:rsidP="006066F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Щасливцевська  </w:t>
      </w:r>
      <w:proofErr w:type="spellStart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сільська</w:t>
      </w:r>
      <w:proofErr w:type="spellEnd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рада</w:t>
      </w:r>
    </w:p>
    <w:p w:rsidR="006066F9" w:rsidRPr="00113857" w:rsidRDefault="006066F9" w:rsidP="006066F9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Виконавчий  комітет</w:t>
      </w:r>
    </w:p>
    <w:p w:rsidR="006066F9" w:rsidRPr="00113857" w:rsidRDefault="006066F9" w:rsidP="006066F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</w:pPr>
      <w:proofErr w:type="gramStart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Р</w:t>
      </w:r>
      <w:proofErr w:type="gramEnd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ІШЕННЯ</w:t>
      </w:r>
    </w:p>
    <w:p w:rsidR="006066F9" w:rsidRDefault="006066F9" w:rsidP="006066F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</w:p>
    <w:p w:rsidR="006066F9" w:rsidRPr="00113857" w:rsidRDefault="006066F9" w:rsidP="006066F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>07. 12</w:t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 xml:space="preserve">2020 </w:t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>р.</w:t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ab/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ab/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ab/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ab/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 xml:space="preserve">    </w:t>
      </w:r>
      <w:r w:rsidRPr="00113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uk-UA"/>
        </w:rPr>
        <w:t>165</w:t>
      </w:r>
    </w:p>
    <w:p w:rsidR="006066F9" w:rsidRPr="00113857" w:rsidRDefault="006066F9" w:rsidP="006066F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uk-UA"/>
        </w:rPr>
      </w:pPr>
    </w:p>
    <w:p w:rsidR="006066F9" w:rsidRPr="004F4B0E" w:rsidRDefault="006066F9" w:rsidP="006066F9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відмову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066F9" w:rsidRPr="004F4B0E" w:rsidRDefault="006066F9" w:rsidP="006066F9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споруди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ідприємницької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</w:p>
    <w:p w:rsidR="006066F9" w:rsidRPr="004F4B0E" w:rsidRDefault="006066F9" w:rsidP="006066F9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66F9" w:rsidRPr="004F4B0E" w:rsidRDefault="006066F9" w:rsidP="006066F9">
      <w:pPr>
        <w:spacing w:after="0"/>
        <w:ind w:right="48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66F9" w:rsidRPr="004F4B0E" w:rsidRDefault="006066F9" w:rsidP="006066F9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Розглянувши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суб’єкта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ідприємницької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можливості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споруди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підприємницької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керуючись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ст. 28, п.4 Закону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містобудівної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ст.30, 31 Закону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місцеве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самоврядування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6066F9" w:rsidRPr="004F4B0E" w:rsidRDefault="006066F9" w:rsidP="00606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ВИРІШИВ: </w:t>
      </w:r>
    </w:p>
    <w:p w:rsidR="006066F9" w:rsidRPr="004F4B0E" w:rsidRDefault="006066F9" w:rsidP="006066F9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B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</w:t>
      </w:r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Відмовити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розміщенні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споруди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066F9" w:rsidRPr="004F4B0E" w:rsidRDefault="006066F9" w:rsidP="00606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B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1.1.</w:t>
      </w:r>
      <w:r w:rsidRPr="004F4B0E">
        <w:rPr>
          <w:rFonts w:ascii="Times New Roman" w:hAnsi="Times New Roman" w:cs="Times New Roman"/>
          <w:sz w:val="24"/>
          <w:szCs w:val="24"/>
        </w:rPr>
        <w:t xml:space="preserve"> КП «МАК</w:t>
      </w:r>
      <w:proofErr w:type="gramStart"/>
      <w:r w:rsidRPr="004F4B0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F4B0E">
        <w:rPr>
          <w:rFonts w:ascii="Times New Roman" w:hAnsi="Times New Roman" w:cs="Times New Roman"/>
          <w:sz w:val="24"/>
          <w:szCs w:val="24"/>
        </w:rPr>
        <w:t xml:space="preserve">ІНВЕСТ» на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3,0м х 2,0м за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: с. Щасливцеве,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. Набережна, 21-Н, в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зв'язку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невідповідністю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споруди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містобудівної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>.</w:t>
      </w:r>
    </w:p>
    <w:p w:rsidR="006066F9" w:rsidRPr="004F4B0E" w:rsidRDefault="006066F9" w:rsidP="00606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B0E">
        <w:rPr>
          <w:rFonts w:ascii="Times New Roman" w:hAnsi="Times New Roman" w:cs="Times New Roman"/>
          <w:b/>
          <w:sz w:val="24"/>
          <w:szCs w:val="24"/>
        </w:rPr>
        <w:t>1.2</w:t>
      </w:r>
      <w:r w:rsidRPr="00D34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4DE1">
        <w:rPr>
          <w:rFonts w:ascii="Times New Roman" w:hAnsi="Times New Roman" w:cs="Times New Roman"/>
          <w:sz w:val="24"/>
          <w:szCs w:val="24"/>
        </w:rPr>
        <w:t>КП «МАК</w:t>
      </w:r>
      <w:proofErr w:type="gramStart"/>
      <w:r w:rsidRPr="00D34DE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34DE1">
        <w:rPr>
          <w:rFonts w:ascii="Times New Roman" w:hAnsi="Times New Roman" w:cs="Times New Roman"/>
          <w:sz w:val="24"/>
          <w:szCs w:val="24"/>
        </w:rPr>
        <w:t xml:space="preserve">ІНВЕСТ» на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 3,0м х 2,0м за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: с. Щасливцеве, </w:t>
      </w:r>
      <w:proofErr w:type="spellStart"/>
      <w:r w:rsidRPr="00D34DE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 xml:space="preserve">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4F4B0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зв'язку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невідповідністю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споруди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містобудівної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D34DE1">
        <w:rPr>
          <w:rFonts w:ascii="Times New Roman" w:hAnsi="Times New Roman" w:cs="Times New Roman"/>
          <w:sz w:val="24"/>
          <w:szCs w:val="24"/>
        </w:rPr>
        <w:t>.</w:t>
      </w:r>
    </w:p>
    <w:p w:rsidR="006066F9" w:rsidRPr="004F4B0E" w:rsidRDefault="006066F9" w:rsidP="00606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B0E">
        <w:rPr>
          <w:rFonts w:ascii="Times New Roman" w:hAnsi="Times New Roman" w:cs="Times New Roman"/>
          <w:b/>
          <w:sz w:val="24"/>
          <w:szCs w:val="24"/>
        </w:rPr>
        <w:t>1.3.</w:t>
      </w:r>
      <w:r w:rsidRPr="004F4B0E">
        <w:rPr>
          <w:rFonts w:ascii="Times New Roman" w:hAnsi="Times New Roman" w:cs="Times New Roman"/>
          <w:sz w:val="24"/>
          <w:szCs w:val="24"/>
        </w:rPr>
        <w:t xml:space="preserve"> ФОП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4F4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B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B0E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6,5 м</w:t>
      </w:r>
      <w:r w:rsidRPr="004F4B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4B0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прохід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до б/в «Барселона в с.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Генічеського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неможливістю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проїзді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>.</w:t>
      </w:r>
    </w:p>
    <w:p w:rsidR="006066F9" w:rsidRPr="004F4B0E" w:rsidRDefault="006066F9" w:rsidP="00606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CE1F2A">
        <w:rPr>
          <w:rFonts w:ascii="Times New Roman" w:hAnsi="Times New Roman" w:cs="Times New Roman"/>
          <w:b/>
          <w:sz w:val="24"/>
          <w:szCs w:val="24"/>
        </w:rPr>
        <w:t>.</w:t>
      </w:r>
      <w:r w:rsidRPr="00CE1F2A">
        <w:rPr>
          <w:rFonts w:ascii="Times New Roman" w:hAnsi="Times New Roman" w:cs="Times New Roman"/>
          <w:sz w:val="24"/>
          <w:szCs w:val="24"/>
        </w:rPr>
        <w:t xml:space="preserve"> ФОП </w:t>
      </w:r>
      <w:r>
        <w:rPr>
          <w:rFonts w:ascii="Times New Roman" w:hAnsi="Times New Roman" w:cs="Times New Roman"/>
          <w:sz w:val="24"/>
          <w:szCs w:val="24"/>
          <w:lang w:val="uk-UA"/>
        </w:rPr>
        <w:t>**</w:t>
      </w:r>
      <w:bookmarkStart w:id="0" w:name="_GoBack"/>
      <w:bookmarkEnd w:id="0"/>
      <w:r w:rsidRPr="00CE1F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1F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1F2A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10,8 м</w:t>
      </w:r>
      <w:r w:rsidRPr="00CE1F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1F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пляжній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території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прилеглій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до б/в «Барселона в с.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Генічеського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F2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E1F2A">
        <w:rPr>
          <w:rFonts w:ascii="Times New Roman" w:hAnsi="Times New Roman" w:cs="Times New Roman"/>
          <w:sz w:val="24"/>
          <w:szCs w:val="24"/>
        </w:rPr>
        <w:t xml:space="preserve">, </w:t>
      </w:r>
      <w:r w:rsidRPr="004F4B0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фізичній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B0E">
        <w:rPr>
          <w:rFonts w:ascii="Times New Roman" w:hAnsi="Times New Roman" w:cs="Times New Roman"/>
          <w:sz w:val="24"/>
          <w:szCs w:val="24"/>
        </w:rPr>
        <w:t>підприємцю</w:t>
      </w:r>
      <w:proofErr w:type="spellEnd"/>
      <w:r w:rsidRPr="004F4B0E">
        <w:rPr>
          <w:rFonts w:ascii="Times New Roman" w:hAnsi="Times New Roman" w:cs="Times New Roman"/>
          <w:sz w:val="24"/>
          <w:szCs w:val="24"/>
        </w:rPr>
        <w:t>.</w:t>
      </w:r>
    </w:p>
    <w:p w:rsidR="006066F9" w:rsidRPr="004F4B0E" w:rsidRDefault="006066F9" w:rsidP="00606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4B0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</w:t>
      </w:r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Контроль за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виконанням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ішення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покласти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в. о. начальника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відділу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містобудування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архітектури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головного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архітектора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Щасливцевської сільської ради </w:t>
      </w:r>
      <w:proofErr w:type="spellStart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Борідко</w:t>
      </w:r>
      <w:proofErr w:type="spellEnd"/>
      <w:r w:rsidRPr="004F4B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М.В.</w:t>
      </w:r>
    </w:p>
    <w:p w:rsidR="006066F9" w:rsidRPr="004F4B0E" w:rsidRDefault="006066F9" w:rsidP="00606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066F9" w:rsidRPr="00113857" w:rsidRDefault="006066F9" w:rsidP="006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45A6" w:rsidRPr="006066F9" w:rsidRDefault="006066F9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іктор</w:t>
      </w:r>
      <w:proofErr w:type="spellEnd"/>
      <w:r w:rsidRPr="001138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ПЛОХУШКО</w:t>
      </w:r>
    </w:p>
    <w:sectPr w:rsidR="00F145A6" w:rsidRPr="00606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6066F9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2020-12-09T12:14:00Z</dcterms:created>
  <dcterms:modified xsi:type="dcterms:W3CDTF">2020-12-09T12:14:00Z</dcterms:modified>
</cp:coreProperties>
</file>