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A6" w:rsidRDefault="001E1E34" w:rsidP="001E1E34">
      <w:pPr>
        <w:widowControl w:val="0"/>
        <w:tabs>
          <w:tab w:val="left" w:pos="2280"/>
          <w:tab w:val="center" w:pos="5056"/>
        </w:tabs>
        <w:autoSpaceDE w:val="0"/>
        <w:autoSpaceDN w:val="0"/>
        <w:adjustRightInd w:val="0"/>
        <w:spacing w:line="240" w:lineRule="atLeast"/>
        <w:rPr>
          <w:b/>
          <w:lang w:val="ru-RU"/>
        </w:rPr>
      </w:pPr>
      <w:r>
        <w:rPr>
          <w:b/>
        </w:rPr>
        <w:t xml:space="preserve">                                                          </w:t>
      </w:r>
      <w:bookmarkStart w:id="0" w:name="_GoBack"/>
      <w:bookmarkEnd w:id="0"/>
      <w:r w:rsidR="00FB72A6" w:rsidRPr="002B3CE5">
        <w:rPr>
          <w:b/>
        </w:rPr>
        <w:t>АНАЛІЗ РЕГУЛЯТОРНОГО ВПЛИВУ</w:t>
      </w:r>
    </w:p>
    <w:p w:rsidR="00303807" w:rsidRPr="00303807" w:rsidRDefault="00303807" w:rsidP="00FB72A6">
      <w:pPr>
        <w:widowControl w:val="0"/>
        <w:tabs>
          <w:tab w:val="left" w:pos="2280"/>
          <w:tab w:val="center" w:pos="5056"/>
        </w:tabs>
        <w:autoSpaceDE w:val="0"/>
        <w:autoSpaceDN w:val="0"/>
        <w:adjustRightInd w:val="0"/>
        <w:spacing w:line="240" w:lineRule="atLeast"/>
        <w:jc w:val="center"/>
        <w:rPr>
          <w:b/>
          <w:lang w:val="ru-RU"/>
        </w:rPr>
      </w:pPr>
    </w:p>
    <w:p w:rsidR="00FB72A6" w:rsidRPr="00825153" w:rsidRDefault="00FB72A6" w:rsidP="00FB72A6">
      <w:pPr>
        <w:jc w:val="center"/>
      </w:pPr>
      <w:r w:rsidRPr="00825153">
        <w:t xml:space="preserve">Проекту рішення Щасливцевської сільської ради </w:t>
      </w:r>
    </w:p>
    <w:p w:rsidR="00FB72A6" w:rsidRPr="00825153" w:rsidRDefault="001E6569" w:rsidP="00FB72A6">
      <w:pPr>
        <w:jc w:val="center"/>
        <w:rPr>
          <w:i/>
          <w:u w:val="single"/>
        </w:rPr>
      </w:pPr>
      <w:r w:rsidRPr="00825153">
        <w:rPr>
          <w:i/>
          <w:u w:val="single"/>
        </w:rPr>
        <w:t>"</w:t>
      </w:r>
      <w:r w:rsidR="00C14F05" w:rsidRPr="00825153">
        <w:rPr>
          <w:u w:val="single"/>
        </w:rPr>
        <w:t>Про</w:t>
      </w:r>
      <w:r w:rsidR="0078000F" w:rsidRPr="00825153">
        <w:rPr>
          <w:u w:val="single"/>
          <w:lang w:eastAsia="ar-SA"/>
        </w:rPr>
        <w:t xml:space="preserve"> </w:t>
      </w:r>
      <w:r w:rsidR="00514CF2">
        <w:rPr>
          <w:u w:val="single"/>
          <w:lang w:eastAsia="ar-SA"/>
        </w:rPr>
        <w:t>затвердження с</w:t>
      </w:r>
      <w:r w:rsidR="0078000F" w:rsidRPr="00825153">
        <w:rPr>
          <w:u w:val="single"/>
          <w:lang w:eastAsia="ar-SA"/>
        </w:rPr>
        <w:t>хем</w:t>
      </w:r>
      <w:r w:rsidR="00654061" w:rsidRPr="00825153">
        <w:rPr>
          <w:u w:val="single"/>
          <w:lang w:eastAsia="ar-SA"/>
        </w:rPr>
        <w:t xml:space="preserve"> санітарного</w:t>
      </w:r>
      <w:r w:rsidR="00B21B7F" w:rsidRPr="00825153">
        <w:rPr>
          <w:u w:val="single"/>
          <w:lang w:eastAsia="ar-SA"/>
        </w:rPr>
        <w:t xml:space="preserve"> очищення</w:t>
      </w:r>
      <w:r w:rsidR="00A66238" w:rsidRPr="00825153">
        <w:rPr>
          <w:u w:val="single"/>
        </w:rPr>
        <w:t xml:space="preserve"> населених пунктів</w:t>
      </w:r>
      <w:r w:rsidR="00C14F05" w:rsidRPr="00825153">
        <w:rPr>
          <w:u w:val="single"/>
        </w:rPr>
        <w:t xml:space="preserve"> Щасливцевської сільської ради</w:t>
      </w:r>
      <w:r w:rsidR="003D3FAC" w:rsidRPr="00825153">
        <w:rPr>
          <w:u w:val="single"/>
        </w:rPr>
        <w:t xml:space="preserve">, с. Щасливцеве, с. Генічеська Гірка та </w:t>
      </w:r>
      <w:r w:rsidR="00825153" w:rsidRPr="00825153">
        <w:rPr>
          <w:u w:val="single"/>
        </w:rPr>
        <w:t>с. Приозерне</w:t>
      </w:r>
      <w:r w:rsidRPr="00825153">
        <w:rPr>
          <w:u w:val="single"/>
        </w:rPr>
        <w:t>"</w:t>
      </w:r>
    </w:p>
    <w:p w:rsidR="00FB72A6" w:rsidRPr="00825153" w:rsidRDefault="00FB72A6" w:rsidP="00FB72A6">
      <w:pPr>
        <w:jc w:val="center"/>
        <w:rPr>
          <w:i/>
        </w:rPr>
      </w:pPr>
    </w:p>
    <w:p w:rsidR="00654061" w:rsidRPr="002B3CE5" w:rsidRDefault="00654061" w:rsidP="00FB72A6">
      <w:pPr>
        <w:jc w:val="center"/>
        <w:rPr>
          <w:b/>
          <w:i/>
        </w:rPr>
      </w:pPr>
    </w:p>
    <w:p w:rsidR="00FB72A6" w:rsidRPr="002B3CE5" w:rsidRDefault="00FB72A6" w:rsidP="001E6569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 w:rsidRPr="002B3CE5">
        <w:t xml:space="preserve">Цей аналіз регуляторного впливу (далі – Аналіз) розроблений на виконання вимог Закону України «Про засади державної регуляторної політики у сфері господарської діяльності» від 11.09.2003 року №1160-IV та Методики проведення аналізу впливу регуляторного акту, затвердженої постановою Кабінету Міністрів України від 11.03.2004 року №308 (зі змінами та доповненнями) і визначає правові та організаційні засади реалізації проекту рішення Щасливцевської сільської ради </w:t>
      </w:r>
      <w:r w:rsidRPr="002B3CE5">
        <w:rPr>
          <w:i/>
          <w:u w:val="single"/>
        </w:rPr>
        <w:t>«</w:t>
      </w:r>
      <w:r w:rsidR="00C14F05" w:rsidRPr="00413572">
        <w:rPr>
          <w:u w:val="single"/>
        </w:rPr>
        <w:t xml:space="preserve">Про </w:t>
      </w:r>
      <w:r w:rsidR="00F0748B" w:rsidRPr="00413572">
        <w:rPr>
          <w:u w:val="single"/>
        </w:rPr>
        <w:t>затвердження схем санітарного очищення</w:t>
      </w:r>
      <w:r w:rsidR="00AE4FE5" w:rsidRPr="00413572">
        <w:rPr>
          <w:u w:val="single"/>
        </w:rPr>
        <w:t xml:space="preserve"> населених пунктів</w:t>
      </w:r>
      <w:r w:rsidR="00C14F05" w:rsidRPr="00413572">
        <w:rPr>
          <w:u w:val="single"/>
        </w:rPr>
        <w:t xml:space="preserve"> Щасливцевської сільської ради</w:t>
      </w:r>
      <w:r w:rsidR="00AE4FE5" w:rsidRPr="00413572">
        <w:rPr>
          <w:u w:val="single"/>
        </w:rPr>
        <w:t>, с. Щасливцеве, с. Генічеська Гірка та с. Приозерне</w:t>
      </w:r>
      <w:r w:rsidRPr="002B3CE5">
        <w:rPr>
          <w:i/>
          <w:u w:val="single"/>
        </w:rPr>
        <w:t>»</w:t>
      </w:r>
      <w:r w:rsidRPr="002B3CE5">
        <w:t>, як регуляторного акту.</w:t>
      </w:r>
    </w:p>
    <w:p w:rsidR="00FB72A6" w:rsidRPr="002B3CE5" w:rsidRDefault="00FB72A6" w:rsidP="001E656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</w:rPr>
      </w:pPr>
      <w:r w:rsidRPr="002B3CE5">
        <w:rPr>
          <w:b/>
        </w:rPr>
        <w:t>Визначення проблеми.</w:t>
      </w:r>
    </w:p>
    <w:p w:rsidR="00C52688" w:rsidRPr="001A2CF2" w:rsidRDefault="00384806" w:rsidP="00C52688">
      <w:pPr>
        <w:ind w:firstLine="426"/>
        <w:jc w:val="both"/>
      </w:pPr>
      <w:r w:rsidRPr="001A2CF2">
        <w:rPr>
          <w:color w:val="000000"/>
        </w:rPr>
        <w:t>З метою впорядкування питань у сфері поводження з відходами, забезпечення утримання сіл в належному санітарному стані, зменшення негативного впливу відходів на довкілля та здоров'я</w:t>
      </w:r>
      <w:r w:rsidRPr="001A2CF2">
        <w:rPr>
          <w:spacing w:val="-1"/>
        </w:rPr>
        <w:t xml:space="preserve"> у населених пунктах Щасливцевської сільської ради</w:t>
      </w:r>
    </w:p>
    <w:p w:rsidR="00C52688" w:rsidRPr="00EC7136" w:rsidRDefault="00C52688" w:rsidP="00C52688">
      <w:pPr>
        <w:ind w:firstLine="426"/>
        <w:jc w:val="both"/>
      </w:pPr>
      <w:r w:rsidRPr="00EC7136">
        <w:t xml:space="preserve">Таким чином, зазначена проблема потребує усунення шляхом прийняття рішення </w:t>
      </w:r>
      <w:r w:rsidR="001A2CF2">
        <w:t xml:space="preserve">Щасливцевської </w:t>
      </w:r>
      <w:r w:rsidRPr="00EC7136">
        <w:t>сільської ради «</w:t>
      </w:r>
      <w:r w:rsidR="000A7086" w:rsidRPr="00825153">
        <w:rPr>
          <w:u w:val="single"/>
        </w:rPr>
        <w:t>Про</w:t>
      </w:r>
      <w:r w:rsidR="000A7086" w:rsidRPr="00825153">
        <w:rPr>
          <w:u w:val="single"/>
          <w:lang w:eastAsia="ar-SA"/>
        </w:rPr>
        <w:t xml:space="preserve"> затвердження Схем санітарного очищення</w:t>
      </w:r>
      <w:r w:rsidR="000A7086" w:rsidRPr="00825153">
        <w:rPr>
          <w:u w:val="single"/>
        </w:rPr>
        <w:t xml:space="preserve"> населених пунктів Щасливцевської сільської ради</w:t>
      </w:r>
      <w:r w:rsidR="000A7086">
        <w:rPr>
          <w:u w:val="single"/>
        </w:rPr>
        <w:t>, с. Щасливцеве</w:t>
      </w:r>
      <w:r w:rsidR="00060A66">
        <w:rPr>
          <w:u w:val="single"/>
        </w:rPr>
        <w:t>, с. Генічеська Гірка та с. Приозерне</w:t>
      </w:r>
      <w:r w:rsidRPr="00EC7136">
        <w:t>».</w:t>
      </w:r>
    </w:p>
    <w:p w:rsidR="00FB72A6" w:rsidRPr="002B3CE5" w:rsidRDefault="00FB72A6" w:rsidP="00F83869">
      <w:pPr>
        <w:pStyle w:val="a8"/>
        <w:shd w:val="clear" w:color="auto" w:fill="FFFFFF"/>
        <w:spacing w:before="0" w:beforeAutospacing="0" w:after="0" w:afterAutospacing="0"/>
        <w:jc w:val="both"/>
      </w:pPr>
    </w:p>
    <w:p w:rsidR="00FB72A6" w:rsidRPr="002B3CE5" w:rsidRDefault="00FB72A6" w:rsidP="001E6569">
      <w:pPr>
        <w:pStyle w:val="a8"/>
        <w:spacing w:before="0" w:beforeAutospacing="0" w:after="0" w:afterAutospacing="0" w:line="240" w:lineRule="atLeast"/>
        <w:ind w:firstLine="567"/>
        <w:jc w:val="both"/>
      </w:pPr>
      <w:r w:rsidRPr="002B3CE5">
        <w:t>Основні групи, на які проблема справляє вплив: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779"/>
      </w:tblGrid>
      <w:tr w:rsidR="00FB72A6" w:rsidRPr="002B3CE5" w:rsidTr="001E6569">
        <w:tc>
          <w:tcPr>
            <w:tcW w:w="3284" w:type="dxa"/>
          </w:tcPr>
          <w:p w:rsidR="00FB72A6" w:rsidRPr="002B3CE5" w:rsidRDefault="00FB72A6" w:rsidP="001E6569">
            <w:pPr>
              <w:pStyle w:val="rvps12"/>
              <w:spacing w:before="0" w:beforeAutospacing="0" w:after="0" w:afterAutospacing="0" w:line="240" w:lineRule="atLeast"/>
              <w:ind w:firstLine="567"/>
              <w:jc w:val="center"/>
              <w:textAlignment w:val="baseline"/>
              <w:rPr>
                <w:lang w:val="uk-UA"/>
              </w:rPr>
            </w:pPr>
            <w:r w:rsidRPr="002B3CE5">
              <w:rPr>
                <w:lang w:val="uk-UA"/>
              </w:rPr>
              <w:t>Групи (підгрупи)</w:t>
            </w:r>
          </w:p>
        </w:tc>
        <w:tc>
          <w:tcPr>
            <w:tcW w:w="3285" w:type="dxa"/>
          </w:tcPr>
          <w:p w:rsidR="00FB72A6" w:rsidRPr="002B3CE5" w:rsidRDefault="00FB72A6" w:rsidP="001E6569">
            <w:pPr>
              <w:pStyle w:val="rvps12"/>
              <w:spacing w:before="0" w:beforeAutospacing="0" w:after="0" w:afterAutospacing="0" w:line="240" w:lineRule="atLeast"/>
              <w:ind w:firstLine="567"/>
              <w:jc w:val="center"/>
              <w:textAlignment w:val="baseline"/>
              <w:rPr>
                <w:lang w:val="uk-UA"/>
              </w:rPr>
            </w:pPr>
            <w:r w:rsidRPr="002B3CE5">
              <w:rPr>
                <w:lang w:val="uk-UA"/>
              </w:rPr>
              <w:t>Так</w:t>
            </w:r>
          </w:p>
        </w:tc>
        <w:tc>
          <w:tcPr>
            <w:tcW w:w="3779" w:type="dxa"/>
          </w:tcPr>
          <w:p w:rsidR="00FB72A6" w:rsidRPr="002B3CE5" w:rsidRDefault="00FB72A6" w:rsidP="001E6569">
            <w:pPr>
              <w:pStyle w:val="rvps12"/>
              <w:spacing w:before="0" w:beforeAutospacing="0" w:after="0" w:afterAutospacing="0" w:line="240" w:lineRule="atLeast"/>
              <w:ind w:firstLine="567"/>
              <w:jc w:val="center"/>
              <w:textAlignment w:val="baseline"/>
              <w:rPr>
                <w:lang w:val="uk-UA"/>
              </w:rPr>
            </w:pPr>
            <w:r w:rsidRPr="002B3CE5">
              <w:rPr>
                <w:lang w:val="uk-UA"/>
              </w:rPr>
              <w:t>Ні</w:t>
            </w:r>
          </w:p>
        </w:tc>
      </w:tr>
      <w:tr w:rsidR="00FB72A6" w:rsidRPr="002B3CE5" w:rsidTr="001E6569">
        <w:tc>
          <w:tcPr>
            <w:tcW w:w="3284" w:type="dxa"/>
          </w:tcPr>
          <w:p w:rsidR="00FB72A6" w:rsidRPr="002B3CE5" w:rsidRDefault="00FB72A6" w:rsidP="001E6569">
            <w:pPr>
              <w:pStyle w:val="rvps14"/>
              <w:spacing w:before="0" w:beforeAutospacing="0" w:after="0" w:afterAutospacing="0" w:line="240" w:lineRule="atLeast"/>
              <w:ind w:firstLine="567"/>
              <w:textAlignment w:val="baseline"/>
              <w:rPr>
                <w:lang w:val="uk-UA"/>
              </w:rPr>
            </w:pPr>
            <w:r w:rsidRPr="002B3CE5">
              <w:rPr>
                <w:lang w:val="uk-UA"/>
              </w:rPr>
              <w:t>Громадяни</w:t>
            </w:r>
          </w:p>
        </w:tc>
        <w:tc>
          <w:tcPr>
            <w:tcW w:w="3285" w:type="dxa"/>
          </w:tcPr>
          <w:p w:rsidR="00FB72A6" w:rsidRPr="002B3CE5" w:rsidRDefault="001E6569" w:rsidP="001E6569">
            <w:pPr>
              <w:pStyle w:val="a8"/>
              <w:spacing w:before="0" w:beforeAutospacing="0" w:after="0" w:afterAutospacing="0" w:line="240" w:lineRule="atLeast"/>
              <w:ind w:firstLine="567"/>
              <w:jc w:val="center"/>
            </w:pPr>
            <w:r w:rsidRPr="002B3CE5">
              <w:t>Х</w:t>
            </w:r>
          </w:p>
        </w:tc>
        <w:tc>
          <w:tcPr>
            <w:tcW w:w="3779" w:type="dxa"/>
          </w:tcPr>
          <w:p w:rsidR="00FB72A6" w:rsidRPr="002B3CE5" w:rsidRDefault="00FB72A6" w:rsidP="001E6569">
            <w:pPr>
              <w:pStyle w:val="a8"/>
              <w:spacing w:before="0" w:beforeAutospacing="0" w:after="0" w:afterAutospacing="0" w:line="240" w:lineRule="atLeast"/>
              <w:ind w:firstLine="567"/>
              <w:jc w:val="center"/>
            </w:pPr>
            <w:r w:rsidRPr="002B3CE5">
              <w:t>-</w:t>
            </w:r>
          </w:p>
        </w:tc>
      </w:tr>
      <w:tr w:rsidR="00FB72A6" w:rsidRPr="002B3CE5" w:rsidTr="001E6569">
        <w:trPr>
          <w:trHeight w:val="350"/>
        </w:trPr>
        <w:tc>
          <w:tcPr>
            <w:tcW w:w="3284" w:type="dxa"/>
          </w:tcPr>
          <w:p w:rsidR="00FB72A6" w:rsidRPr="002B3CE5" w:rsidRDefault="00FB72A6" w:rsidP="001E6569">
            <w:pPr>
              <w:pStyle w:val="rvps14"/>
              <w:spacing w:before="0" w:beforeAutospacing="0" w:after="0" w:afterAutospacing="0" w:line="240" w:lineRule="atLeast"/>
              <w:ind w:firstLine="567"/>
              <w:textAlignment w:val="baseline"/>
              <w:rPr>
                <w:lang w:val="uk-UA"/>
              </w:rPr>
            </w:pPr>
            <w:r w:rsidRPr="002B3CE5">
              <w:rPr>
                <w:lang w:val="uk-UA"/>
              </w:rPr>
              <w:t>Держава, у т.ч.:</w:t>
            </w:r>
          </w:p>
        </w:tc>
        <w:tc>
          <w:tcPr>
            <w:tcW w:w="3285" w:type="dxa"/>
          </w:tcPr>
          <w:p w:rsidR="00FB72A6" w:rsidRPr="002B3CE5" w:rsidRDefault="001E6569" w:rsidP="001E6569">
            <w:pPr>
              <w:pStyle w:val="a8"/>
              <w:spacing w:before="0" w:beforeAutospacing="0" w:after="0" w:afterAutospacing="0" w:line="240" w:lineRule="atLeast"/>
              <w:ind w:firstLine="567"/>
              <w:jc w:val="center"/>
            </w:pPr>
            <w:r w:rsidRPr="002B3CE5">
              <w:t>Х</w:t>
            </w:r>
            <w:r w:rsidR="00FB72A6" w:rsidRPr="002B3CE5">
              <w:t>-</w:t>
            </w:r>
          </w:p>
        </w:tc>
        <w:tc>
          <w:tcPr>
            <w:tcW w:w="3779" w:type="dxa"/>
          </w:tcPr>
          <w:p w:rsidR="00FB72A6" w:rsidRPr="002B3CE5" w:rsidRDefault="00FB72A6" w:rsidP="001E6569">
            <w:pPr>
              <w:spacing w:line="240" w:lineRule="atLeast"/>
              <w:ind w:firstLine="567"/>
              <w:jc w:val="center"/>
            </w:pPr>
            <w:r w:rsidRPr="002B3CE5">
              <w:t>-</w:t>
            </w:r>
          </w:p>
        </w:tc>
      </w:tr>
      <w:tr w:rsidR="00FB72A6" w:rsidRPr="002B3CE5" w:rsidTr="001E6569">
        <w:tc>
          <w:tcPr>
            <w:tcW w:w="3284" w:type="dxa"/>
          </w:tcPr>
          <w:p w:rsidR="00FB72A6" w:rsidRPr="002B3CE5" w:rsidRDefault="00FB72A6" w:rsidP="001E6569">
            <w:pPr>
              <w:spacing w:line="240" w:lineRule="atLeast"/>
              <w:ind w:firstLine="567"/>
              <w:rPr>
                <w:i/>
              </w:rPr>
            </w:pPr>
            <w:r w:rsidRPr="002B3CE5">
              <w:rPr>
                <w:i/>
              </w:rPr>
              <w:t>орган місцевого самоврядування</w:t>
            </w:r>
          </w:p>
        </w:tc>
        <w:tc>
          <w:tcPr>
            <w:tcW w:w="3285" w:type="dxa"/>
          </w:tcPr>
          <w:p w:rsidR="00FB72A6" w:rsidRPr="002B3CE5" w:rsidRDefault="001E6569" w:rsidP="001E6569">
            <w:pPr>
              <w:pStyle w:val="a8"/>
              <w:spacing w:before="0" w:beforeAutospacing="0" w:after="0" w:afterAutospacing="0" w:line="240" w:lineRule="atLeast"/>
              <w:ind w:firstLine="567"/>
              <w:jc w:val="center"/>
            </w:pPr>
            <w:r w:rsidRPr="002B3CE5">
              <w:t>Х</w:t>
            </w:r>
          </w:p>
        </w:tc>
        <w:tc>
          <w:tcPr>
            <w:tcW w:w="3779" w:type="dxa"/>
          </w:tcPr>
          <w:p w:rsidR="00FB72A6" w:rsidRPr="002B3CE5" w:rsidRDefault="00FB72A6" w:rsidP="001E6569">
            <w:pPr>
              <w:spacing w:line="240" w:lineRule="atLeast"/>
              <w:ind w:firstLine="567"/>
              <w:jc w:val="center"/>
            </w:pPr>
            <w:r w:rsidRPr="002B3CE5">
              <w:t>-</w:t>
            </w:r>
          </w:p>
        </w:tc>
      </w:tr>
      <w:tr w:rsidR="00FB72A6" w:rsidRPr="002B3CE5" w:rsidTr="001E6569">
        <w:tc>
          <w:tcPr>
            <w:tcW w:w="3284" w:type="dxa"/>
          </w:tcPr>
          <w:p w:rsidR="00FB72A6" w:rsidRPr="002B3CE5" w:rsidRDefault="00FB72A6" w:rsidP="001E6569">
            <w:pPr>
              <w:pStyle w:val="rvps14"/>
              <w:spacing w:before="0" w:beforeAutospacing="0" w:after="0" w:afterAutospacing="0" w:line="240" w:lineRule="atLeast"/>
              <w:ind w:firstLine="567"/>
              <w:textAlignment w:val="baseline"/>
              <w:rPr>
                <w:lang w:val="uk-UA"/>
              </w:rPr>
            </w:pPr>
            <w:r w:rsidRPr="002B3CE5">
              <w:rPr>
                <w:lang w:val="uk-UA"/>
              </w:rPr>
              <w:t>Суб’єкти господарювання,</w:t>
            </w:r>
          </w:p>
        </w:tc>
        <w:tc>
          <w:tcPr>
            <w:tcW w:w="3285" w:type="dxa"/>
          </w:tcPr>
          <w:p w:rsidR="00FB72A6" w:rsidRPr="002B3CE5" w:rsidRDefault="001E6569" w:rsidP="001E6569">
            <w:pPr>
              <w:pStyle w:val="a8"/>
              <w:spacing w:before="0" w:beforeAutospacing="0" w:after="0" w:afterAutospacing="0" w:line="240" w:lineRule="atLeast"/>
              <w:ind w:firstLine="567"/>
              <w:jc w:val="center"/>
            </w:pPr>
            <w:r w:rsidRPr="002B3CE5">
              <w:t>Х</w:t>
            </w:r>
          </w:p>
        </w:tc>
        <w:tc>
          <w:tcPr>
            <w:tcW w:w="3779" w:type="dxa"/>
          </w:tcPr>
          <w:p w:rsidR="00FB72A6" w:rsidRPr="002B3CE5" w:rsidRDefault="00FB72A6" w:rsidP="001E6569">
            <w:pPr>
              <w:spacing w:line="240" w:lineRule="atLeast"/>
              <w:ind w:firstLine="567"/>
              <w:jc w:val="center"/>
            </w:pPr>
            <w:r w:rsidRPr="002B3CE5">
              <w:t>-</w:t>
            </w:r>
          </w:p>
        </w:tc>
      </w:tr>
      <w:tr w:rsidR="00FB72A6" w:rsidRPr="002B3CE5" w:rsidTr="001E6569">
        <w:tc>
          <w:tcPr>
            <w:tcW w:w="3284" w:type="dxa"/>
          </w:tcPr>
          <w:p w:rsidR="00FB72A6" w:rsidRPr="002B3CE5" w:rsidRDefault="00FB72A6" w:rsidP="001E6569">
            <w:pPr>
              <w:pStyle w:val="rvps14"/>
              <w:spacing w:before="0" w:beforeAutospacing="0" w:after="0" w:afterAutospacing="0" w:line="240" w:lineRule="atLeast"/>
              <w:ind w:firstLine="567"/>
              <w:textAlignment w:val="baseline"/>
              <w:rPr>
                <w:lang w:val="uk-UA"/>
              </w:rPr>
            </w:pPr>
            <w:r w:rsidRPr="002B3CE5">
              <w:rPr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3285" w:type="dxa"/>
          </w:tcPr>
          <w:p w:rsidR="00FB72A6" w:rsidRPr="002B3CE5" w:rsidRDefault="001E6569" w:rsidP="001E6569">
            <w:pPr>
              <w:pStyle w:val="a8"/>
              <w:spacing w:before="0" w:beforeAutospacing="0" w:after="0" w:afterAutospacing="0" w:line="240" w:lineRule="atLeast"/>
              <w:ind w:firstLine="567"/>
              <w:jc w:val="center"/>
            </w:pPr>
            <w:r w:rsidRPr="002B3CE5">
              <w:t>Х</w:t>
            </w:r>
          </w:p>
        </w:tc>
        <w:tc>
          <w:tcPr>
            <w:tcW w:w="3779" w:type="dxa"/>
          </w:tcPr>
          <w:p w:rsidR="00FB72A6" w:rsidRPr="002B3CE5" w:rsidRDefault="00FB72A6" w:rsidP="001E6569">
            <w:pPr>
              <w:spacing w:line="240" w:lineRule="atLeast"/>
              <w:ind w:firstLine="567"/>
              <w:jc w:val="center"/>
            </w:pPr>
            <w:r w:rsidRPr="002B3CE5">
              <w:t>-</w:t>
            </w:r>
          </w:p>
        </w:tc>
      </w:tr>
    </w:tbl>
    <w:p w:rsidR="00FB72A6" w:rsidRPr="002B3CE5" w:rsidRDefault="00FB72A6" w:rsidP="001E6569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b/>
        </w:rPr>
      </w:pPr>
      <w:r w:rsidRPr="002B3CE5">
        <w:rPr>
          <w:b/>
        </w:rPr>
        <w:t>Цілі державного регулювання.</w:t>
      </w:r>
    </w:p>
    <w:p w:rsidR="00647A93" w:rsidRPr="00647A93" w:rsidRDefault="00647A93" w:rsidP="00647A93">
      <w:pPr>
        <w:shd w:val="clear" w:color="auto" w:fill="FFFFFF"/>
        <w:spacing w:before="13"/>
        <w:ind w:firstLine="567"/>
        <w:rPr>
          <w:color w:val="000000"/>
        </w:rPr>
      </w:pPr>
      <w:r w:rsidRPr="00647A93">
        <w:rPr>
          <w:color w:val="000000"/>
        </w:rPr>
        <w:t>Ціль прийняття даного регуляторного акту безпосередньо пов'язана з вирішенням проблеми, про яку йшлося в попередньому розділі. Даний регуляторний акт спрямований на вирішення проблеми як у цілому, так і її окремих складових.</w:t>
      </w:r>
    </w:p>
    <w:p w:rsidR="00647A93" w:rsidRPr="00647A93" w:rsidRDefault="00647A93" w:rsidP="00647A93">
      <w:pPr>
        <w:shd w:val="clear" w:color="auto" w:fill="FFFFFF"/>
        <w:spacing w:before="13"/>
        <w:ind w:firstLine="567"/>
        <w:rPr>
          <w:color w:val="000000"/>
        </w:rPr>
      </w:pPr>
      <w:r w:rsidRPr="00647A93">
        <w:rPr>
          <w:color w:val="000000"/>
        </w:rPr>
        <w:t>Окрім того, цілями даного регуляторного акту є:</w:t>
      </w:r>
    </w:p>
    <w:p w:rsidR="00647A93" w:rsidRPr="00647A93" w:rsidRDefault="00647A93" w:rsidP="00647A93">
      <w:pPr>
        <w:shd w:val="clear" w:color="auto" w:fill="FFFFFF"/>
        <w:spacing w:before="13"/>
        <w:ind w:firstLine="567"/>
        <w:rPr>
          <w:color w:val="000000"/>
        </w:rPr>
      </w:pPr>
      <w:r w:rsidRPr="00647A93">
        <w:rPr>
          <w:color w:val="000000"/>
        </w:rPr>
        <w:t>• дотримання та виконання в повному обсязі вимог чинного законодавства у сфері поводження з побу</w:t>
      </w:r>
      <w:r w:rsidR="00F5538A">
        <w:rPr>
          <w:color w:val="000000"/>
        </w:rPr>
        <w:t xml:space="preserve">товими відходами як Щасливцевською </w:t>
      </w:r>
      <w:r w:rsidRPr="00647A93">
        <w:rPr>
          <w:color w:val="000000"/>
        </w:rPr>
        <w:t>сіль</w:t>
      </w:r>
      <w:r w:rsidR="00F5538A">
        <w:rPr>
          <w:color w:val="000000"/>
        </w:rPr>
        <w:t>ською радою так і підприємством</w:t>
      </w:r>
      <w:r w:rsidRPr="00647A93">
        <w:rPr>
          <w:color w:val="000000"/>
        </w:rPr>
        <w:t>, яке надає послуги зі збирання та вивезення твердих побутових відходів;</w:t>
      </w:r>
    </w:p>
    <w:p w:rsidR="00647A93" w:rsidRPr="00647A93" w:rsidRDefault="00647A93" w:rsidP="00647A93">
      <w:pPr>
        <w:shd w:val="clear" w:color="auto" w:fill="FFFFFF"/>
        <w:spacing w:before="13"/>
        <w:ind w:firstLine="567"/>
        <w:rPr>
          <w:color w:val="000000"/>
        </w:rPr>
      </w:pPr>
      <w:r w:rsidRPr="00647A93">
        <w:rPr>
          <w:color w:val="000000"/>
        </w:rPr>
        <w:t>• захист навколишнього природного середовища, забезпечення належного санітарного</w:t>
      </w:r>
      <w:r w:rsidR="003A6455">
        <w:rPr>
          <w:color w:val="000000"/>
        </w:rPr>
        <w:t xml:space="preserve"> стану на території Щасливцевської</w:t>
      </w:r>
      <w:r w:rsidRPr="00647A93">
        <w:rPr>
          <w:color w:val="000000"/>
        </w:rPr>
        <w:t xml:space="preserve"> сільської ради;</w:t>
      </w:r>
    </w:p>
    <w:p w:rsidR="00647A93" w:rsidRPr="00647A93" w:rsidRDefault="00647A93" w:rsidP="00647A93">
      <w:pPr>
        <w:shd w:val="clear" w:color="auto" w:fill="FFFFFF"/>
        <w:spacing w:before="13"/>
        <w:ind w:firstLine="567"/>
        <w:rPr>
          <w:color w:val="000000"/>
        </w:rPr>
      </w:pPr>
      <w:r w:rsidRPr="00647A93">
        <w:rPr>
          <w:color w:val="000000"/>
        </w:rPr>
        <w:t>• ліквідація умов для створення стихійних сміттєзвалищ;</w:t>
      </w:r>
    </w:p>
    <w:p w:rsidR="00647A93" w:rsidRPr="00647A93" w:rsidRDefault="00647A93" w:rsidP="00647A93">
      <w:pPr>
        <w:shd w:val="clear" w:color="auto" w:fill="FFFFFF"/>
        <w:spacing w:before="13"/>
        <w:ind w:firstLine="567"/>
        <w:rPr>
          <w:color w:val="000000"/>
        </w:rPr>
      </w:pPr>
      <w:r w:rsidRPr="00647A93">
        <w:rPr>
          <w:color w:val="000000"/>
        </w:rPr>
        <w:t>• сприяння ефективності в роботі у сфері збирання та вивезення твердих побутових відходів;</w:t>
      </w:r>
    </w:p>
    <w:p w:rsidR="00647A93" w:rsidRDefault="00647A93" w:rsidP="00647A93">
      <w:pPr>
        <w:shd w:val="clear" w:color="auto" w:fill="FFFFFF"/>
        <w:spacing w:before="13"/>
        <w:ind w:firstLine="567"/>
        <w:rPr>
          <w:color w:val="000000"/>
        </w:rPr>
      </w:pPr>
      <w:r w:rsidRPr="00647A93">
        <w:rPr>
          <w:color w:val="000000"/>
        </w:rPr>
        <w:t>• здійснення державної політики ціноутворення.</w:t>
      </w:r>
    </w:p>
    <w:p w:rsidR="00650C85" w:rsidRPr="002B3CE5" w:rsidRDefault="00650C85" w:rsidP="001E6569">
      <w:pPr>
        <w:shd w:val="clear" w:color="auto" w:fill="FFFFFF"/>
        <w:spacing w:before="13"/>
        <w:ind w:firstLine="567"/>
        <w:rPr>
          <w:color w:val="000000"/>
        </w:rPr>
      </w:pPr>
      <w:r w:rsidRPr="002B3CE5">
        <w:rPr>
          <w:color w:val="000000"/>
        </w:rPr>
        <w:t>Проект рішення розроблено з метою приведення у відповідність нормативно-правових актів органу місцевого самоврядування до вимог законодавства України.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b/>
        </w:rPr>
      </w:pPr>
      <w:r w:rsidRPr="002B3CE5">
        <w:rPr>
          <w:b/>
        </w:rPr>
        <w:t>3.</w:t>
      </w:r>
      <w:r w:rsidRPr="002B3CE5">
        <w:rPr>
          <w:b/>
        </w:rPr>
        <w:tab/>
        <w:t>Визначення та оцінка альтернативних способів досягнення цілей.</w:t>
      </w:r>
    </w:p>
    <w:p w:rsidR="00FB72A6" w:rsidRPr="002B3CE5" w:rsidRDefault="00FB72A6" w:rsidP="001E6569">
      <w:pPr>
        <w:pStyle w:val="a8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ind w:left="567" w:hanging="10"/>
        <w:jc w:val="both"/>
      </w:pPr>
      <w:r w:rsidRPr="002B3CE5">
        <w:lastRenderedPageBreak/>
        <w:t>Визначення альтернативних способів.</w:t>
      </w:r>
    </w:p>
    <w:p w:rsidR="00650C85" w:rsidRPr="002B3CE5" w:rsidRDefault="00650C85" w:rsidP="001E6569">
      <w:pPr>
        <w:shd w:val="clear" w:color="auto" w:fill="FFFFFF"/>
        <w:spacing w:before="13"/>
        <w:ind w:firstLine="567"/>
        <w:jc w:val="both"/>
        <w:rPr>
          <w:color w:val="000000"/>
        </w:rPr>
      </w:pPr>
      <w:r w:rsidRPr="002B3CE5">
        <w:rPr>
          <w:color w:val="000000"/>
        </w:rPr>
        <w:t>Перша альтернатива - залишити дану ситуацію без змін.</w:t>
      </w:r>
    </w:p>
    <w:p w:rsidR="00650C85" w:rsidRPr="00F43E3E" w:rsidRDefault="00650C85" w:rsidP="001E6569">
      <w:pPr>
        <w:shd w:val="clear" w:color="auto" w:fill="FFFFFF"/>
        <w:spacing w:before="13"/>
        <w:ind w:firstLine="567"/>
        <w:jc w:val="both"/>
      </w:pPr>
      <w:r w:rsidRPr="00F43E3E">
        <w:t>Дана альтернатива є н</w:t>
      </w:r>
      <w:r w:rsidR="00F43E3E" w:rsidRPr="00F43E3E">
        <w:t>еприйнятною оскільки сьогоднішня методика збирання ТПВ є застарілою та відбувається з частковим порушенням чинного законодавства у сфері поводження з побутовими відходами як Щасливцевською сільською радою так і підприємством, яке надає послуги зі збирання та вивезення твердих побутових відходів та шкодить стану навколишнього природного середовища.</w:t>
      </w:r>
    </w:p>
    <w:p w:rsidR="0014679B" w:rsidRPr="00F43E3E" w:rsidRDefault="0014679B" w:rsidP="001E6569">
      <w:pPr>
        <w:shd w:val="clear" w:color="auto" w:fill="FFFFFF"/>
        <w:spacing w:before="13"/>
        <w:ind w:firstLine="567"/>
      </w:pPr>
      <w:r w:rsidRPr="00F43E3E">
        <w:t>Друга альтернатива - прийняття запропонованого регуляторного акта.</w:t>
      </w:r>
    </w:p>
    <w:p w:rsidR="0014679B" w:rsidRPr="002B3CE5" w:rsidRDefault="0014679B" w:rsidP="001E6569">
      <w:pPr>
        <w:shd w:val="clear" w:color="auto" w:fill="FFFFFF"/>
        <w:spacing w:before="13"/>
        <w:ind w:firstLine="567"/>
        <w:rPr>
          <w:color w:val="000000"/>
        </w:rPr>
      </w:pPr>
      <w:r w:rsidRPr="002B3CE5">
        <w:rPr>
          <w:color w:val="000000"/>
        </w:rPr>
        <w:t>Прийняття запропонованого проекту рішення забезпечить виконання законодавства України та дотримання інтересів суб’єктів господарювання.</w:t>
      </w:r>
    </w:p>
    <w:p w:rsidR="00FB72A6" w:rsidRPr="002B3CE5" w:rsidRDefault="00FB72A6" w:rsidP="001E6569">
      <w:pPr>
        <w:pStyle w:val="a8"/>
        <w:shd w:val="clear" w:color="auto" w:fill="FFFFFF"/>
        <w:spacing w:before="0" w:beforeAutospacing="0" w:after="0" w:afterAutospacing="0"/>
        <w:ind w:left="709" w:firstLine="567"/>
        <w:jc w:val="both"/>
      </w:pPr>
    </w:p>
    <w:p w:rsidR="00FB72A6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rPr>
          <w:bCs/>
        </w:rPr>
        <w:t>У ході визначення</w:t>
      </w:r>
      <w:r w:rsidRPr="002B3CE5">
        <w:rPr>
          <w:b/>
        </w:rPr>
        <w:t xml:space="preserve"> </w:t>
      </w:r>
      <w:r w:rsidRPr="002B3CE5">
        <w:t xml:space="preserve">альтернативних способів досягнення встановлених цілей </w:t>
      </w:r>
      <w:r w:rsidR="00F43E3E">
        <w:t>Д</w:t>
      </w:r>
      <w:r w:rsidRPr="002B3CE5">
        <w:t>ержавного регулювання доцільно розглянути наступні прийнятні:</w:t>
      </w:r>
    </w:p>
    <w:p w:rsidR="00C82418" w:rsidRPr="002B3CE5" w:rsidRDefault="00C82418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94"/>
      </w:tblGrid>
      <w:tr w:rsidR="00FB72A6" w:rsidRPr="002B3CE5" w:rsidTr="001E6569">
        <w:tc>
          <w:tcPr>
            <w:tcW w:w="3686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567"/>
              <w:jc w:val="both"/>
              <w:rPr>
                <w:b/>
              </w:rPr>
            </w:pPr>
            <w:r w:rsidRPr="002B3CE5">
              <w:rPr>
                <w:b/>
              </w:rPr>
              <w:t>Види альтернативи</w:t>
            </w:r>
          </w:p>
        </w:tc>
        <w:tc>
          <w:tcPr>
            <w:tcW w:w="6394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567"/>
              <w:jc w:val="both"/>
              <w:rPr>
                <w:b/>
              </w:rPr>
            </w:pPr>
            <w:r w:rsidRPr="002B3CE5">
              <w:rPr>
                <w:b/>
              </w:rPr>
              <w:t>Опис альтернативи</w:t>
            </w:r>
          </w:p>
        </w:tc>
      </w:tr>
      <w:tr w:rsidR="00FB72A6" w:rsidRPr="002B3CE5" w:rsidTr="001E6569">
        <w:tc>
          <w:tcPr>
            <w:tcW w:w="3686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176"/>
              <w:jc w:val="both"/>
            </w:pPr>
            <w:r w:rsidRPr="002B3CE5">
              <w:t>Альтернатива 1</w:t>
            </w:r>
          </w:p>
        </w:tc>
        <w:tc>
          <w:tcPr>
            <w:tcW w:w="6394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34"/>
              <w:jc w:val="both"/>
            </w:pPr>
            <w:r w:rsidRPr="002B3CE5">
              <w:t>Залишити чинне регулювання і зберегти дану ситуацію без змін</w:t>
            </w:r>
          </w:p>
        </w:tc>
      </w:tr>
      <w:tr w:rsidR="00FB72A6" w:rsidRPr="002B3CE5" w:rsidTr="001E6569">
        <w:tc>
          <w:tcPr>
            <w:tcW w:w="3686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176"/>
              <w:jc w:val="both"/>
            </w:pPr>
            <w:r w:rsidRPr="002B3CE5">
              <w:t>Альтернатива 2</w:t>
            </w:r>
          </w:p>
        </w:tc>
        <w:tc>
          <w:tcPr>
            <w:tcW w:w="6394" w:type="dxa"/>
          </w:tcPr>
          <w:p w:rsidR="00FB72A6" w:rsidRPr="002B3CE5" w:rsidRDefault="00FB72A6" w:rsidP="001E6569">
            <w:pPr>
              <w:pStyle w:val="a8"/>
              <w:shd w:val="clear" w:color="auto" w:fill="FFFFFF"/>
              <w:tabs>
                <w:tab w:val="left" w:pos="1134"/>
              </w:tabs>
              <w:spacing w:before="0" w:beforeAutospacing="0" w:after="0" w:afterAutospacing="0" w:line="240" w:lineRule="atLeast"/>
              <w:ind w:firstLine="34"/>
              <w:jc w:val="both"/>
            </w:pPr>
            <w:r w:rsidRPr="002B3CE5">
              <w:t>Прийняття запропонованого регуляторного акта</w:t>
            </w:r>
          </w:p>
        </w:tc>
      </w:tr>
    </w:tbl>
    <w:p w:rsidR="00FB72A6" w:rsidRPr="002B3CE5" w:rsidRDefault="00FB72A6" w:rsidP="001E6569">
      <w:pPr>
        <w:pStyle w:val="a8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ind w:left="567" w:hanging="10"/>
        <w:jc w:val="both"/>
      </w:pPr>
      <w:r w:rsidRPr="002B3CE5">
        <w:t>Оцінка вибраних альтернативних способів досягнення цілей.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>Нижче наведено опис вигод та витрат за кожною альтернативою для сфер інтересів держави, громадян та суб’єктів господарювання.</w:t>
      </w:r>
    </w:p>
    <w:p w:rsidR="002B3CE5" w:rsidRPr="002B3CE5" w:rsidRDefault="002B3CE5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</w:p>
    <w:p w:rsidR="00FB72A6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>Оцінка впливу на сферу інтересів держави:</w:t>
      </w:r>
    </w:p>
    <w:p w:rsidR="00C82418" w:rsidRPr="002B3CE5" w:rsidRDefault="00C82418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  <w:gridCol w:w="2850"/>
      </w:tblGrid>
      <w:tr w:rsidR="00FB72A6" w:rsidRPr="002B3CE5" w:rsidTr="001E6569">
        <w:tc>
          <w:tcPr>
            <w:tcW w:w="2127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567"/>
              <w:jc w:val="both"/>
              <w:rPr>
                <w:b/>
              </w:rPr>
            </w:pPr>
            <w:r w:rsidRPr="002B3CE5">
              <w:rPr>
                <w:b/>
              </w:rPr>
              <w:t>Вид альтернативи</w:t>
            </w:r>
          </w:p>
        </w:tc>
        <w:tc>
          <w:tcPr>
            <w:tcW w:w="5103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567"/>
              <w:jc w:val="both"/>
              <w:rPr>
                <w:b/>
              </w:rPr>
            </w:pPr>
            <w:r w:rsidRPr="002B3CE5">
              <w:rPr>
                <w:b/>
              </w:rPr>
              <w:t>Вигоди</w:t>
            </w:r>
          </w:p>
        </w:tc>
        <w:tc>
          <w:tcPr>
            <w:tcW w:w="2850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567"/>
              <w:jc w:val="both"/>
              <w:rPr>
                <w:b/>
              </w:rPr>
            </w:pPr>
            <w:r w:rsidRPr="002B3CE5">
              <w:rPr>
                <w:b/>
              </w:rPr>
              <w:t>Витрати</w:t>
            </w:r>
          </w:p>
        </w:tc>
      </w:tr>
      <w:tr w:rsidR="00FB72A6" w:rsidRPr="002B3CE5" w:rsidTr="001E6569">
        <w:tc>
          <w:tcPr>
            <w:tcW w:w="2127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34"/>
              <w:jc w:val="both"/>
            </w:pPr>
            <w:r w:rsidRPr="002B3CE5">
              <w:t>Альтернатива 1</w:t>
            </w:r>
          </w:p>
        </w:tc>
        <w:tc>
          <w:tcPr>
            <w:tcW w:w="5103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33"/>
              <w:jc w:val="both"/>
            </w:pPr>
            <w:r w:rsidRPr="002B3CE5">
              <w:t>Вигоди відсутні.</w:t>
            </w:r>
          </w:p>
        </w:tc>
        <w:tc>
          <w:tcPr>
            <w:tcW w:w="2850" w:type="dxa"/>
          </w:tcPr>
          <w:p w:rsidR="00FB72A6" w:rsidRPr="002B3CE5" w:rsidRDefault="00FB72A6" w:rsidP="006558E0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2B3CE5">
              <w:rPr>
                <w:shd w:val="clear" w:color="auto" w:fill="FFFFFF"/>
              </w:rPr>
              <w:t xml:space="preserve">1. </w:t>
            </w:r>
            <w:r w:rsidR="008159FD" w:rsidRPr="002B3CE5">
              <w:t xml:space="preserve">Порушення вимог Закону України </w:t>
            </w:r>
            <w:r w:rsidR="002B3CE5" w:rsidRPr="002B3CE5">
              <w:t>"</w:t>
            </w:r>
            <w:r w:rsidR="008159FD" w:rsidRPr="002B3CE5">
              <w:t xml:space="preserve">Про </w:t>
            </w:r>
            <w:r w:rsidR="006558E0">
              <w:t>відходи</w:t>
            </w:r>
            <w:r w:rsidR="002B3CE5" w:rsidRPr="002B3CE5">
              <w:t>"</w:t>
            </w:r>
          </w:p>
        </w:tc>
      </w:tr>
      <w:tr w:rsidR="00FB72A6" w:rsidRPr="002B3CE5" w:rsidTr="001E6569">
        <w:tc>
          <w:tcPr>
            <w:tcW w:w="2127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34"/>
              <w:jc w:val="both"/>
            </w:pPr>
            <w:r w:rsidRPr="002B3CE5">
              <w:t>Альтернатива 2</w:t>
            </w:r>
          </w:p>
        </w:tc>
        <w:tc>
          <w:tcPr>
            <w:tcW w:w="5103" w:type="dxa"/>
          </w:tcPr>
          <w:p w:rsidR="00C82418" w:rsidRDefault="00C82418" w:rsidP="006558E0">
            <w:pPr>
              <w:shd w:val="clear" w:color="auto" w:fill="FFFFFF"/>
              <w:spacing w:before="13"/>
              <w:rPr>
                <w:color w:val="000000"/>
              </w:rPr>
            </w:pPr>
          </w:p>
          <w:p w:rsidR="006558E0" w:rsidRPr="00647A93" w:rsidRDefault="006558E0" w:rsidP="006558E0">
            <w:pPr>
              <w:shd w:val="clear" w:color="auto" w:fill="FFFFFF"/>
              <w:spacing w:before="13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647A93">
              <w:rPr>
                <w:color w:val="000000"/>
              </w:rPr>
              <w:t>захист навколишнього природного середовища, забезпечення належного санітарного</w:t>
            </w:r>
            <w:r>
              <w:rPr>
                <w:color w:val="000000"/>
              </w:rPr>
              <w:t xml:space="preserve"> стану на території Щасливцевської</w:t>
            </w:r>
            <w:r w:rsidRPr="00647A93">
              <w:rPr>
                <w:color w:val="000000"/>
              </w:rPr>
              <w:t xml:space="preserve"> сільської ради;</w:t>
            </w:r>
          </w:p>
          <w:p w:rsidR="006558E0" w:rsidRPr="00647A93" w:rsidRDefault="006558E0" w:rsidP="006558E0">
            <w:pPr>
              <w:shd w:val="clear" w:color="auto" w:fill="FFFFFF"/>
              <w:spacing w:before="13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647A93">
              <w:rPr>
                <w:color w:val="000000"/>
              </w:rPr>
              <w:t>ліквідація умов для створення стихійних сміттєзвалищ;</w:t>
            </w:r>
          </w:p>
          <w:p w:rsidR="006558E0" w:rsidRPr="00647A93" w:rsidRDefault="006558E0" w:rsidP="006558E0">
            <w:pPr>
              <w:shd w:val="clear" w:color="auto" w:fill="FFFFFF"/>
              <w:spacing w:before="13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647A93">
              <w:rPr>
                <w:color w:val="000000"/>
              </w:rPr>
              <w:t>сприяння ефективності в роботі у сфері збирання та вивезення твердих побутових відходів;</w:t>
            </w:r>
          </w:p>
          <w:p w:rsidR="00911EF3" w:rsidRPr="002B3CE5" w:rsidRDefault="006558E0" w:rsidP="006558E0">
            <w:pPr>
              <w:pStyle w:val="a8"/>
              <w:shd w:val="clear" w:color="auto" w:fill="FFFFFF"/>
              <w:spacing w:before="0" w:beforeAutospacing="0" w:after="0" w:afterAutospacing="0"/>
              <w:ind w:firstLine="33"/>
            </w:pPr>
            <w:r>
              <w:rPr>
                <w:color w:val="000000"/>
              </w:rPr>
              <w:t>4.</w:t>
            </w:r>
            <w:r w:rsidRPr="00647A93">
              <w:rPr>
                <w:color w:val="000000"/>
              </w:rPr>
              <w:t>здійснення державної політики ціноутворення</w:t>
            </w:r>
          </w:p>
        </w:tc>
        <w:tc>
          <w:tcPr>
            <w:tcW w:w="2850" w:type="dxa"/>
          </w:tcPr>
          <w:p w:rsidR="00FB72A6" w:rsidRPr="002B3CE5" w:rsidRDefault="002B3CE5" w:rsidP="002B3CE5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>
              <w:t>Втрати в</w:t>
            </w:r>
            <w:r w:rsidRPr="002B3CE5">
              <w:t>ідсутні</w:t>
            </w:r>
          </w:p>
        </w:tc>
      </w:tr>
    </w:tbl>
    <w:p w:rsidR="002B3CE5" w:rsidRPr="002B3CE5" w:rsidRDefault="002B3CE5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</w:p>
    <w:p w:rsidR="00FB72A6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>Оцінка впливу на сферу інтересів громадян:</w:t>
      </w:r>
    </w:p>
    <w:p w:rsidR="00C82418" w:rsidRPr="002B3CE5" w:rsidRDefault="00C82418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  <w:gridCol w:w="2850"/>
      </w:tblGrid>
      <w:tr w:rsidR="00FB72A6" w:rsidRPr="002B3CE5" w:rsidTr="002B3CE5">
        <w:tc>
          <w:tcPr>
            <w:tcW w:w="2127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567"/>
              <w:jc w:val="both"/>
              <w:rPr>
                <w:b/>
              </w:rPr>
            </w:pPr>
            <w:r w:rsidRPr="002B3CE5">
              <w:rPr>
                <w:b/>
              </w:rPr>
              <w:t>Вид альтернативи</w:t>
            </w:r>
          </w:p>
        </w:tc>
        <w:tc>
          <w:tcPr>
            <w:tcW w:w="5103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567"/>
              <w:jc w:val="both"/>
              <w:rPr>
                <w:b/>
              </w:rPr>
            </w:pPr>
            <w:r w:rsidRPr="002B3CE5">
              <w:rPr>
                <w:b/>
              </w:rPr>
              <w:t>Вигоди</w:t>
            </w:r>
          </w:p>
        </w:tc>
        <w:tc>
          <w:tcPr>
            <w:tcW w:w="2850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567"/>
              <w:jc w:val="both"/>
              <w:rPr>
                <w:b/>
              </w:rPr>
            </w:pPr>
            <w:r w:rsidRPr="002B3CE5">
              <w:rPr>
                <w:b/>
              </w:rPr>
              <w:t>Витрати</w:t>
            </w:r>
          </w:p>
        </w:tc>
      </w:tr>
      <w:tr w:rsidR="00FB72A6" w:rsidRPr="002B3CE5" w:rsidTr="002B3CE5">
        <w:tc>
          <w:tcPr>
            <w:tcW w:w="2127" w:type="dxa"/>
          </w:tcPr>
          <w:p w:rsidR="00FB72A6" w:rsidRPr="002B3CE5" w:rsidRDefault="00FB72A6" w:rsidP="002B3CE5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2B3CE5">
              <w:t>Альтернатива 1</w:t>
            </w:r>
          </w:p>
        </w:tc>
        <w:tc>
          <w:tcPr>
            <w:tcW w:w="5103" w:type="dxa"/>
          </w:tcPr>
          <w:p w:rsidR="00FB72A6" w:rsidRPr="002B3CE5" w:rsidRDefault="00FB72A6" w:rsidP="002B3CE5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2B3CE5">
              <w:t xml:space="preserve">Вигоди відсутні. </w:t>
            </w:r>
          </w:p>
        </w:tc>
        <w:tc>
          <w:tcPr>
            <w:tcW w:w="2850" w:type="dxa"/>
          </w:tcPr>
          <w:p w:rsidR="00FB72A6" w:rsidRPr="002B3CE5" w:rsidRDefault="002B3CE5" w:rsidP="00C82418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  <w:rPr>
                <w:shd w:val="clear" w:color="auto" w:fill="FFFFFF"/>
              </w:rPr>
            </w:pPr>
            <w:r>
              <w:t xml:space="preserve">1. </w:t>
            </w:r>
            <w:r w:rsidR="00C82418">
              <w:t>Утворення стихійних звалищ</w:t>
            </w:r>
          </w:p>
        </w:tc>
      </w:tr>
      <w:tr w:rsidR="00C82418" w:rsidRPr="002B3CE5" w:rsidTr="002B3CE5">
        <w:tc>
          <w:tcPr>
            <w:tcW w:w="2127" w:type="dxa"/>
          </w:tcPr>
          <w:p w:rsidR="00C82418" w:rsidRPr="002B3CE5" w:rsidRDefault="00C82418" w:rsidP="002B3CE5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2B3CE5">
              <w:t>Альтернатива 2</w:t>
            </w:r>
          </w:p>
        </w:tc>
        <w:tc>
          <w:tcPr>
            <w:tcW w:w="5103" w:type="dxa"/>
          </w:tcPr>
          <w:p w:rsidR="00C82418" w:rsidRPr="00647A93" w:rsidRDefault="00C82418" w:rsidP="00EF0BEE">
            <w:pPr>
              <w:shd w:val="clear" w:color="auto" w:fill="FFFFFF"/>
              <w:spacing w:before="13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647A93">
              <w:rPr>
                <w:color w:val="000000"/>
              </w:rPr>
              <w:t xml:space="preserve">захист навколишнього природного </w:t>
            </w:r>
            <w:r w:rsidRPr="00647A93">
              <w:rPr>
                <w:color w:val="000000"/>
              </w:rPr>
              <w:lastRenderedPageBreak/>
              <w:t>середовища, забезпечення належного санітарного</w:t>
            </w:r>
            <w:r>
              <w:rPr>
                <w:color w:val="000000"/>
              </w:rPr>
              <w:t xml:space="preserve"> стану на території Щасливцевської</w:t>
            </w:r>
            <w:r w:rsidRPr="00647A93">
              <w:rPr>
                <w:color w:val="000000"/>
              </w:rPr>
              <w:t xml:space="preserve"> сільської ради;</w:t>
            </w:r>
          </w:p>
          <w:p w:rsidR="00C82418" w:rsidRPr="00647A93" w:rsidRDefault="00C82418" w:rsidP="00EF0BEE">
            <w:pPr>
              <w:shd w:val="clear" w:color="auto" w:fill="FFFFFF"/>
              <w:spacing w:before="13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647A93">
              <w:rPr>
                <w:color w:val="000000"/>
              </w:rPr>
              <w:t>ліквідація умов для створення стихійних сміттєзвалищ;</w:t>
            </w:r>
          </w:p>
          <w:p w:rsidR="00C82418" w:rsidRPr="00647A93" w:rsidRDefault="00C82418" w:rsidP="00EF0BEE">
            <w:pPr>
              <w:shd w:val="clear" w:color="auto" w:fill="FFFFFF"/>
              <w:spacing w:before="13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647A93">
              <w:rPr>
                <w:color w:val="000000"/>
              </w:rPr>
              <w:t>сприяння ефективності в роботі у сфері збирання та вивезення твердих побутових відходів;</w:t>
            </w:r>
          </w:p>
          <w:p w:rsidR="00C82418" w:rsidRPr="002B3CE5" w:rsidRDefault="00C82418" w:rsidP="00EF0BEE">
            <w:pPr>
              <w:pStyle w:val="a8"/>
              <w:shd w:val="clear" w:color="auto" w:fill="FFFFFF"/>
              <w:spacing w:before="0" w:beforeAutospacing="0" w:after="0" w:afterAutospacing="0"/>
              <w:ind w:firstLine="33"/>
            </w:pPr>
            <w:r>
              <w:rPr>
                <w:color w:val="000000"/>
              </w:rPr>
              <w:t>4.</w:t>
            </w:r>
            <w:r w:rsidRPr="00647A93">
              <w:rPr>
                <w:color w:val="000000"/>
              </w:rPr>
              <w:t>здійснення державної політики ціноутворення</w:t>
            </w:r>
          </w:p>
        </w:tc>
        <w:tc>
          <w:tcPr>
            <w:tcW w:w="2850" w:type="dxa"/>
          </w:tcPr>
          <w:p w:rsidR="00C82418" w:rsidRPr="002B3CE5" w:rsidRDefault="00C82418" w:rsidP="002B3CE5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lastRenderedPageBreak/>
              <w:t>В</w:t>
            </w:r>
            <w:r>
              <w:rPr>
                <w:lang w:val="uk-UA"/>
              </w:rPr>
              <w:t>и</w:t>
            </w:r>
            <w:proofErr w:type="spellStart"/>
            <w:r>
              <w:t>трати</w:t>
            </w:r>
            <w:proofErr w:type="spellEnd"/>
            <w:r>
              <w:t xml:space="preserve"> в</w:t>
            </w:r>
            <w:proofErr w:type="spellStart"/>
            <w:r w:rsidRPr="002B3CE5">
              <w:rPr>
                <w:lang w:val="uk-UA"/>
              </w:rPr>
              <w:t>ідсутні</w:t>
            </w:r>
            <w:proofErr w:type="spellEnd"/>
          </w:p>
        </w:tc>
      </w:tr>
    </w:tbl>
    <w:p w:rsidR="002B3CE5" w:rsidRPr="002B3CE5" w:rsidRDefault="002B3CE5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</w:p>
    <w:p w:rsidR="00FB72A6" w:rsidRPr="002B3CE5" w:rsidRDefault="008159FD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>Оцінка впливу на сфе</w:t>
      </w:r>
      <w:r w:rsidR="00C82418">
        <w:t>р</w:t>
      </w:r>
      <w:r w:rsidR="00FB72A6" w:rsidRPr="002B3CE5">
        <w:t>у інтересів суб’єктів господарювання: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  <w:gridCol w:w="2850"/>
      </w:tblGrid>
      <w:tr w:rsidR="00FB72A6" w:rsidRPr="002B3CE5" w:rsidTr="002B3CE5">
        <w:tc>
          <w:tcPr>
            <w:tcW w:w="2127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567"/>
              <w:jc w:val="both"/>
              <w:rPr>
                <w:b/>
              </w:rPr>
            </w:pPr>
            <w:r w:rsidRPr="002B3CE5">
              <w:rPr>
                <w:b/>
              </w:rPr>
              <w:t>Вид альтернативи</w:t>
            </w:r>
          </w:p>
        </w:tc>
        <w:tc>
          <w:tcPr>
            <w:tcW w:w="5103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567"/>
              <w:jc w:val="both"/>
              <w:rPr>
                <w:b/>
              </w:rPr>
            </w:pPr>
            <w:r w:rsidRPr="002B3CE5">
              <w:rPr>
                <w:b/>
              </w:rPr>
              <w:t>Вигоди</w:t>
            </w:r>
          </w:p>
        </w:tc>
        <w:tc>
          <w:tcPr>
            <w:tcW w:w="2850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567"/>
              <w:jc w:val="both"/>
              <w:rPr>
                <w:b/>
              </w:rPr>
            </w:pPr>
            <w:r w:rsidRPr="002B3CE5">
              <w:rPr>
                <w:b/>
              </w:rPr>
              <w:t>Витрати</w:t>
            </w:r>
          </w:p>
        </w:tc>
      </w:tr>
      <w:tr w:rsidR="00FB72A6" w:rsidRPr="002B3CE5" w:rsidTr="002B3CE5">
        <w:tc>
          <w:tcPr>
            <w:tcW w:w="2127" w:type="dxa"/>
          </w:tcPr>
          <w:p w:rsidR="00FB72A6" w:rsidRPr="002B3CE5" w:rsidRDefault="00FB72A6" w:rsidP="002B3CE5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2B3CE5">
              <w:t>Альтернатива 1</w:t>
            </w:r>
          </w:p>
        </w:tc>
        <w:tc>
          <w:tcPr>
            <w:tcW w:w="5103" w:type="dxa"/>
          </w:tcPr>
          <w:p w:rsidR="00FB72A6" w:rsidRPr="002B3CE5" w:rsidRDefault="00FB72A6" w:rsidP="002B3CE5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2B3CE5">
              <w:t>Вигоди відсутні.</w:t>
            </w:r>
          </w:p>
        </w:tc>
        <w:tc>
          <w:tcPr>
            <w:tcW w:w="2850" w:type="dxa"/>
          </w:tcPr>
          <w:p w:rsidR="00FB72A6" w:rsidRPr="002B3CE5" w:rsidRDefault="00C82418" w:rsidP="002B3CE5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>
              <w:t xml:space="preserve">Несистематичне вивезення </w:t>
            </w:r>
            <w:r w:rsidR="00A71565">
              <w:t>ТПВ, невпорядкованість</w:t>
            </w:r>
          </w:p>
        </w:tc>
      </w:tr>
      <w:tr w:rsidR="00FB72A6" w:rsidRPr="002B3CE5" w:rsidTr="002B3CE5">
        <w:tc>
          <w:tcPr>
            <w:tcW w:w="2127" w:type="dxa"/>
          </w:tcPr>
          <w:p w:rsidR="00FB72A6" w:rsidRPr="002B3CE5" w:rsidRDefault="00FB72A6" w:rsidP="002B3CE5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2B3CE5">
              <w:t>Альтернатива 2</w:t>
            </w:r>
          </w:p>
        </w:tc>
        <w:tc>
          <w:tcPr>
            <w:tcW w:w="5103" w:type="dxa"/>
          </w:tcPr>
          <w:p w:rsidR="001F15DA" w:rsidRPr="002B3CE5" w:rsidRDefault="00A71565" w:rsidP="002B3CE5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С</w:t>
            </w:r>
            <w:r w:rsidR="00C82418" w:rsidRPr="00647A93">
              <w:rPr>
                <w:color w:val="000000"/>
              </w:rPr>
              <w:t>прияння ефективності в роботі у сфері збирання та вивезення твердих побутових відходів;</w:t>
            </w:r>
          </w:p>
        </w:tc>
        <w:tc>
          <w:tcPr>
            <w:tcW w:w="2850" w:type="dxa"/>
          </w:tcPr>
          <w:p w:rsidR="00FB72A6" w:rsidRPr="002B3CE5" w:rsidRDefault="002B3CE5" w:rsidP="002B3CE5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>
              <w:t>В</w:t>
            </w:r>
            <w:r w:rsidR="00C82418">
              <w:t>и</w:t>
            </w:r>
            <w:r>
              <w:t>трати відсутні</w:t>
            </w:r>
          </w:p>
        </w:tc>
      </w:tr>
    </w:tbl>
    <w:p w:rsidR="002B3CE5" w:rsidRPr="002B3CE5" w:rsidRDefault="002B3CE5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>Оцінка впливу на сферу інтересів органів місцевої влади: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  <w:gridCol w:w="2850"/>
      </w:tblGrid>
      <w:tr w:rsidR="00FB72A6" w:rsidRPr="002B3CE5" w:rsidTr="002B3CE5">
        <w:tc>
          <w:tcPr>
            <w:tcW w:w="2127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567"/>
              <w:jc w:val="both"/>
              <w:rPr>
                <w:b/>
              </w:rPr>
            </w:pPr>
            <w:r w:rsidRPr="002B3CE5">
              <w:rPr>
                <w:b/>
              </w:rPr>
              <w:t>Вид альтернативи</w:t>
            </w:r>
          </w:p>
        </w:tc>
        <w:tc>
          <w:tcPr>
            <w:tcW w:w="5103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567"/>
              <w:jc w:val="both"/>
              <w:rPr>
                <w:b/>
              </w:rPr>
            </w:pPr>
            <w:r w:rsidRPr="002B3CE5">
              <w:rPr>
                <w:b/>
              </w:rPr>
              <w:t>Вигоди</w:t>
            </w:r>
          </w:p>
        </w:tc>
        <w:tc>
          <w:tcPr>
            <w:tcW w:w="2850" w:type="dxa"/>
          </w:tcPr>
          <w:p w:rsidR="00FB72A6" w:rsidRPr="002B3CE5" w:rsidRDefault="00FB72A6" w:rsidP="001E6569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567"/>
              <w:jc w:val="both"/>
              <w:rPr>
                <w:b/>
              </w:rPr>
            </w:pPr>
            <w:r w:rsidRPr="002B3CE5">
              <w:rPr>
                <w:b/>
              </w:rPr>
              <w:t>Витрати</w:t>
            </w:r>
          </w:p>
        </w:tc>
      </w:tr>
      <w:tr w:rsidR="00FB72A6" w:rsidRPr="002B3CE5" w:rsidTr="002B3CE5">
        <w:tc>
          <w:tcPr>
            <w:tcW w:w="2127" w:type="dxa"/>
          </w:tcPr>
          <w:p w:rsidR="00FB72A6" w:rsidRPr="002B3CE5" w:rsidRDefault="00FB72A6" w:rsidP="002B3CE5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2B3CE5">
              <w:t>Альтернатива 1</w:t>
            </w:r>
          </w:p>
        </w:tc>
        <w:tc>
          <w:tcPr>
            <w:tcW w:w="5103" w:type="dxa"/>
          </w:tcPr>
          <w:p w:rsidR="00FB72A6" w:rsidRPr="002B3CE5" w:rsidRDefault="00FB72A6" w:rsidP="002B3CE5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2B3CE5">
              <w:t>Вигоди відсутні.</w:t>
            </w:r>
          </w:p>
        </w:tc>
        <w:tc>
          <w:tcPr>
            <w:tcW w:w="2850" w:type="dxa"/>
          </w:tcPr>
          <w:p w:rsidR="00FB72A6" w:rsidRPr="002B3CE5" w:rsidRDefault="002B3CE5" w:rsidP="002B3CE5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33"/>
              <w:jc w:val="both"/>
            </w:pPr>
            <w:r>
              <w:t>1. Невідповідність рішень сільської ради</w:t>
            </w:r>
            <w:r w:rsidR="00A71565">
              <w:t xml:space="preserve"> та її комунальних підприємств</w:t>
            </w:r>
            <w:r>
              <w:t xml:space="preserve"> діючому законодавству.</w:t>
            </w:r>
          </w:p>
        </w:tc>
      </w:tr>
      <w:tr w:rsidR="00FB72A6" w:rsidRPr="002B3CE5" w:rsidTr="002B3CE5">
        <w:tc>
          <w:tcPr>
            <w:tcW w:w="2127" w:type="dxa"/>
          </w:tcPr>
          <w:p w:rsidR="00FB72A6" w:rsidRPr="002B3CE5" w:rsidRDefault="00FB72A6" w:rsidP="002B3CE5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jc w:val="both"/>
            </w:pPr>
            <w:r w:rsidRPr="002B3CE5">
              <w:t>Альтернатива 2</w:t>
            </w:r>
          </w:p>
        </w:tc>
        <w:tc>
          <w:tcPr>
            <w:tcW w:w="5103" w:type="dxa"/>
          </w:tcPr>
          <w:p w:rsidR="00A71565" w:rsidRPr="00647A93" w:rsidRDefault="00A71565" w:rsidP="00A71565">
            <w:pPr>
              <w:shd w:val="clear" w:color="auto" w:fill="FFFFFF"/>
              <w:spacing w:before="13"/>
              <w:rPr>
                <w:color w:val="000000"/>
              </w:rPr>
            </w:pPr>
            <w:r>
              <w:t>1.</w:t>
            </w:r>
            <w:r w:rsidRPr="00647A93">
              <w:rPr>
                <w:color w:val="000000"/>
              </w:rPr>
              <w:t xml:space="preserve"> ліквідація умов для створення стихійних сміттєзвалищ;</w:t>
            </w:r>
          </w:p>
          <w:p w:rsidR="00A71565" w:rsidRPr="00647A93" w:rsidRDefault="00A71565" w:rsidP="00A71565">
            <w:pPr>
              <w:shd w:val="clear" w:color="auto" w:fill="FFFFFF"/>
              <w:spacing w:before="13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647A93">
              <w:rPr>
                <w:color w:val="000000"/>
              </w:rPr>
              <w:t>сприяння ефективності в роботі у сфері збирання та вивезення твердих побутових відходів;</w:t>
            </w:r>
          </w:p>
          <w:p w:rsidR="00FB72A6" w:rsidRPr="002B3CE5" w:rsidRDefault="00A71565" w:rsidP="00A71565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3.</w:t>
            </w:r>
            <w:r w:rsidRPr="00647A93">
              <w:rPr>
                <w:color w:val="000000"/>
              </w:rPr>
              <w:t>здійснення державної політики ціноутворення.</w:t>
            </w:r>
          </w:p>
        </w:tc>
        <w:tc>
          <w:tcPr>
            <w:tcW w:w="2850" w:type="dxa"/>
          </w:tcPr>
          <w:p w:rsidR="00FB72A6" w:rsidRPr="002B3CE5" w:rsidRDefault="00FB72A6" w:rsidP="002B3CE5">
            <w:pPr>
              <w:pStyle w:val="a8"/>
              <w:tabs>
                <w:tab w:val="left" w:pos="1134"/>
              </w:tabs>
              <w:spacing w:before="0" w:beforeAutospacing="0" w:after="0" w:afterAutospacing="0" w:line="240" w:lineRule="atLeast"/>
              <w:ind w:firstLine="33"/>
              <w:jc w:val="both"/>
            </w:pPr>
            <w:r w:rsidRPr="002B3CE5">
              <w:t>Витрати відсутні.</w:t>
            </w:r>
          </w:p>
        </w:tc>
      </w:tr>
    </w:tbl>
    <w:p w:rsidR="002B3CE5" w:rsidRPr="002B3CE5" w:rsidRDefault="002B3CE5" w:rsidP="001E6569">
      <w:pPr>
        <w:pStyle w:val="aa"/>
        <w:spacing w:before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B72A6" w:rsidRPr="002B3CE5" w:rsidRDefault="00FB72A6" w:rsidP="001E6569">
      <w:pPr>
        <w:pStyle w:val="aa"/>
        <w:spacing w:before="0" w:line="240" w:lineRule="atLeast"/>
        <w:jc w:val="both"/>
        <w:rPr>
          <w:rFonts w:ascii="Times New Roman" w:hAnsi="Times New Roman"/>
          <w:sz w:val="24"/>
          <w:szCs w:val="24"/>
        </w:rPr>
      </w:pPr>
      <w:r w:rsidRPr="002B3CE5">
        <w:rPr>
          <w:rFonts w:ascii="Times New Roman" w:hAnsi="Times New Roman"/>
          <w:sz w:val="24"/>
          <w:szCs w:val="24"/>
        </w:rPr>
        <w:t>Податковим кодексом України не передбачено поділ суб’єктів господарювання на великі, середні, малі та мікропідприємства.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835"/>
      </w:tblGrid>
      <w:tr w:rsidR="00FB72A6" w:rsidRPr="002B3CE5" w:rsidTr="002B3CE5">
        <w:trPr>
          <w:trHeight w:val="77"/>
        </w:trPr>
        <w:tc>
          <w:tcPr>
            <w:tcW w:w="7230" w:type="dxa"/>
          </w:tcPr>
          <w:p w:rsidR="00FB72A6" w:rsidRPr="002B3CE5" w:rsidRDefault="00FB72A6" w:rsidP="001E6569">
            <w:pPr>
              <w:pStyle w:val="a8"/>
              <w:spacing w:before="0" w:beforeAutospacing="0" w:after="0" w:afterAutospacing="0" w:line="240" w:lineRule="atLeast"/>
              <w:ind w:firstLine="567"/>
              <w:jc w:val="both"/>
              <w:rPr>
                <w:b/>
              </w:rPr>
            </w:pPr>
            <w:r w:rsidRPr="002B3CE5">
              <w:rPr>
                <w:b/>
              </w:rPr>
              <w:t>Сумарні витрати за альтернативами*</w:t>
            </w:r>
          </w:p>
        </w:tc>
        <w:tc>
          <w:tcPr>
            <w:tcW w:w="2835" w:type="dxa"/>
          </w:tcPr>
          <w:p w:rsidR="00FB72A6" w:rsidRPr="002B3CE5" w:rsidRDefault="00FB72A6" w:rsidP="001E6569">
            <w:pPr>
              <w:pStyle w:val="a8"/>
              <w:spacing w:before="0" w:beforeAutospacing="0" w:after="0" w:afterAutospacing="0" w:line="240" w:lineRule="atLeast"/>
              <w:ind w:firstLine="567"/>
              <w:jc w:val="both"/>
              <w:rPr>
                <w:b/>
              </w:rPr>
            </w:pPr>
            <w:r w:rsidRPr="002B3CE5">
              <w:rPr>
                <w:b/>
              </w:rPr>
              <w:t>Сума витрат</w:t>
            </w:r>
          </w:p>
        </w:tc>
      </w:tr>
      <w:tr w:rsidR="00FB72A6" w:rsidRPr="002B3CE5" w:rsidTr="002B3CE5">
        <w:trPr>
          <w:trHeight w:val="312"/>
        </w:trPr>
        <w:tc>
          <w:tcPr>
            <w:tcW w:w="7230" w:type="dxa"/>
          </w:tcPr>
          <w:p w:rsidR="00FB72A6" w:rsidRPr="002B3CE5" w:rsidRDefault="00FB72A6" w:rsidP="001E6569">
            <w:pPr>
              <w:pStyle w:val="a8"/>
              <w:spacing w:before="0" w:beforeAutospacing="0" w:after="0" w:afterAutospacing="0" w:line="240" w:lineRule="atLeast"/>
              <w:ind w:firstLine="567"/>
              <w:jc w:val="both"/>
            </w:pPr>
            <w:r w:rsidRPr="002B3CE5">
              <w:t>Альтернатива 1</w:t>
            </w:r>
          </w:p>
        </w:tc>
        <w:tc>
          <w:tcPr>
            <w:tcW w:w="2835" w:type="dxa"/>
          </w:tcPr>
          <w:p w:rsidR="00FB72A6" w:rsidRPr="002B3CE5" w:rsidRDefault="00A71565" w:rsidP="002B3CE5">
            <w:pPr>
              <w:pStyle w:val="a8"/>
              <w:spacing w:before="0" w:beforeAutospacing="0" w:after="0" w:afterAutospacing="0" w:line="240" w:lineRule="atLeast"/>
              <w:ind w:firstLine="567"/>
              <w:jc w:val="center"/>
            </w:pPr>
            <w:r>
              <w:t>5</w:t>
            </w:r>
          </w:p>
        </w:tc>
      </w:tr>
      <w:tr w:rsidR="00FB72A6" w:rsidRPr="002B3CE5" w:rsidTr="002B3CE5">
        <w:tc>
          <w:tcPr>
            <w:tcW w:w="7230" w:type="dxa"/>
          </w:tcPr>
          <w:p w:rsidR="00FB72A6" w:rsidRPr="002B3CE5" w:rsidRDefault="00FB72A6" w:rsidP="001E6569">
            <w:pPr>
              <w:pStyle w:val="a8"/>
              <w:spacing w:before="0" w:beforeAutospacing="0" w:after="0" w:afterAutospacing="0" w:line="240" w:lineRule="atLeast"/>
              <w:ind w:firstLine="567"/>
              <w:jc w:val="both"/>
            </w:pPr>
            <w:r w:rsidRPr="002B3CE5">
              <w:t>Альтернатива 2</w:t>
            </w:r>
          </w:p>
        </w:tc>
        <w:tc>
          <w:tcPr>
            <w:tcW w:w="2835" w:type="dxa"/>
          </w:tcPr>
          <w:p w:rsidR="00FB72A6" w:rsidRPr="002B3CE5" w:rsidRDefault="00FB72A6" w:rsidP="001E6569">
            <w:pPr>
              <w:pStyle w:val="a8"/>
              <w:spacing w:before="0" w:beforeAutospacing="0" w:after="0" w:afterAutospacing="0" w:line="240" w:lineRule="atLeast"/>
              <w:ind w:firstLine="567"/>
              <w:jc w:val="center"/>
            </w:pPr>
            <w:r w:rsidRPr="002B3CE5">
              <w:t>0</w:t>
            </w:r>
          </w:p>
        </w:tc>
      </w:tr>
    </w:tbl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b/>
        </w:rPr>
      </w:pPr>
      <w:r w:rsidRPr="002B3CE5">
        <w:rPr>
          <w:b/>
        </w:rPr>
        <w:t>4.</w:t>
      </w:r>
      <w:r w:rsidRPr="002B3CE5">
        <w:rPr>
          <w:b/>
        </w:rPr>
        <w:tab/>
        <w:t>Вибір найбільш оптимального альтернативного способу досягнення цілей.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rPr>
          <w:bCs/>
        </w:rPr>
        <w:t>У ході визначення</w:t>
      </w:r>
      <w:r w:rsidRPr="002B3CE5">
        <w:rPr>
          <w:b/>
        </w:rPr>
        <w:t xml:space="preserve"> </w:t>
      </w:r>
      <w:r w:rsidRPr="002B3CE5">
        <w:t>альтернативних способів досягнення встановлених цілей розглянуто наступні: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>1.</w:t>
      </w:r>
      <w:r w:rsidRPr="002B3CE5">
        <w:tab/>
        <w:t>Залишити чинне регулювання і зберегти дану ситуацію без змін.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>2.</w:t>
      </w:r>
      <w:r w:rsidRPr="002B3CE5">
        <w:tab/>
        <w:t>Прийняття запропонованого регуляторного акта.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lastRenderedPageBreak/>
        <w:t>На підставі проведеного аналізу вищезазначених альтернативних способів за допомогою нижченаведених таблиць здійснено вибір оптимального альтернативного способу з урахуванням системи бальної оцінки ступеня досягнення визначених цілей.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>Вартість балів визначається за чотирибальною системою оцінки ступеня досягнення визначених цілей, де: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>4 – цілі прийняття регуляторного акта, які можуть бути досягнуті повною мірою (проблема більше існувати не буде);</w:t>
      </w:r>
      <w:bookmarkStart w:id="1" w:name="n155"/>
      <w:bookmarkEnd w:id="1"/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>3 – цілі прийняття регуляторного акта, які можуть бути досягнуті майже  повною мірою (усі важливі аспекти проблеми існувати не будуть);</w:t>
      </w:r>
      <w:bookmarkStart w:id="2" w:name="n156"/>
      <w:bookmarkEnd w:id="2"/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>2 –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  <w:bookmarkStart w:id="3" w:name="n157"/>
      <w:bookmarkEnd w:id="3"/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>1 – цілі прийняття регуляторного акта, які не можуть бути досягнуті (проблема продовжує існувати).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5467"/>
      </w:tblGrid>
      <w:tr w:rsidR="00FB72A6" w:rsidRPr="002B3CE5" w:rsidTr="005D0F52">
        <w:tc>
          <w:tcPr>
            <w:tcW w:w="2235" w:type="dxa"/>
          </w:tcPr>
          <w:p w:rsidR="00FB72A6" w:rsidRPr="002B3CE5" w:rsidRDefault="00FB72A6" w:rsidP="002B3CE5">
            <w:pPr>
              <w:pStyle w:val="aa"/>
              <w:spacing w:before="0"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CE5">
              <w:rPr>
                <w:rFonts w:ascii="Times New Roman" w:hAnsi="Times New Roman"/>
                <w:b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126" w:type="dxa"/>
          </w:tcPr>
          <w:p w:rsidR="00FB72A6" w:rsidRPr="002B3CE5" w:rsidRDefault="00FB72A6" w:rsidP="002B3CE5">
            <w:pPr>
              <w:pStyle w:val="aa"/>
              <w:spacing w:before="0"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CE5">
              <w:rPr>
                <w:rFonts w:ascii="Times New Roman" w:hAnsi="Times New Roman"/>
                <w:b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5467" w:type="dxa"/>
          </w:tcPr>
          <w:p w:rsidR="00FB72A6" w:rsidRPr="002B3CE5" w:rsidRDefault="00FB72A6" w:rsidP="002B3CE5">
            <w:pPr>
              <w:pStyle w:val="aa"/>
              <w:spacing w:before="0"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CE5">
              <w:rPr>
                <w:rFonts w:ascii="Times New Roman" w:hAnsi="Times New Roman"/>
                <w:b/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FB72A6" w:rsidRPr="002B3CE5" w:rsidTr="005D0F52">
        <w:tc>
          <w:tcPr>
            <w:tcW w:w="2235" w:type="dxa"/>
          </w:tcPr>
          <w:p w:rsidR="00FB72A6" w:rsidRPr="002B3CE5" w:rsidRDefault="00FB72A6" w:rsidP="002B3CE5">
            <w:pPr>
              <w:spacing w:line="240" w:lineRule="atLeast"/>
              <w:jc w:val="center"/>
            </w:pPr>
            <w:r w:rsidRPr="002B3CE5">
              <w:t>Альтернатива 1</w:t>
            </w:r>
          </w:p>
        </w:tc>
        <w:tc>
          <w:tcPr>
            <w:tcW w:w="2126" w:type="dxa"/>
          </w:tcPr>
          <w:p w:rsidR="00FB72A6" w:rsidRPr="002B3CE5" w:rsidRDefault="00FB72A6" w:rsidP="002B3CE5">
            <w:pPr>
              <w:pStyle w:val="a8"/>
              <w:spacing w:before="0" w:beforeAutospacing="0" w:after="0" w:afterAutospacing="0" w:line="240" w:lineRule="atLeast"/>
              <w:jc w:val="center"/>
            </w:pPr>
            <w:r w:rsidRPr="002B3CE5">
              <w:t>1</w:t>
            </w:r>
          </w:p>
        </w:tc>
        <w:tc>
          <w:tcPr>
            <w:tcW w:w="5467" w:type="dxa"/>
          </w:tcPr>
          <w:p w:rsidR="00FB72A6" w:rsidRPr="002B3CE5" w:rsidRDefault="007E78B7" w:rsidP="00A71565">
            <w:pPr>
              <w:spacing w:line="240" w:lineRule="atLeast"/>
              <w:jc w:val="both"/>
            </w:pPr>
            <w:r w:rsidRPr="002B3CE5">
              <w:t>Відсутність порядку, що буде регулювати відносини</w:t>
            </w:r>
            <w:r w:rsidRPr="002B3CE5">
              <w:rPr>
                <w:bCs/>
                <w:color w:val="000000"/>
              </w:rPr>
              <w:t xml:space="preserve">, які виникають у зв’язку з </w:t>
            </w:r>
            <w:r w:rsidR="00A71565">
              <w:rPr>
                <w:bCs/>
                <w:color w:val="000000"/>
              </w:rPr>
              <w:t>вивезенням ТПВ</w:t>
            </w:r>
          </w:p>
        </w:tc>
      </w:tr>
      <w:tr w:rsidR="00FB72A6" w:rsidRPr="002B3CE5" w:rsidTr="005D0F52">
        <w:tc>
          <w:tcPr>
            <w:tcW w:w="2235" w:type="dxa"/>
          </w:tcPr>
          <w:p w:rsidR="00FB72A6" w:rsidRPr="002B3CE5" w:rsidRDefault="00FB72A6" w:rsidP="002B3CE5">
            <w:pPr>
              <w:spacing w:line="240" w:lineRule="atLeast"/>
              <w:jc w:val="center"/>
            </w:pPr>
            <w:r w:rsidRPr="002B3CE5">
              <w:t>Альтернатива 2</w:t>
            </w:r>
          </w:p>
        </w:tc>
        <w:tc>
          <w:tcPr>
            <w:tcW w:w="2126" w:type="dxa"/>
          </w:tcPr>
          <w:p w:rsidR="00FB72A6" w:rsidRPr="002B3CE5" w:rsidRDefault="00FB72A6" w:rsidP="002B3CE5">
            <w:pPr>
              <w:pStyle w:val="a8"/>
              <w:spacing w:before="0" w:beforeAutospacing="0" w:after="0" w:afterAutospacing="0" w:line="240" w:lineRule="atLeast"/>
              <w:jc w:val="center"/>
            </w:pPr>
            <w:r w:rsidRPr="002B3CE5">
              <w:t>4</w:t>
            </w:r>
          </w:p>
        </w:tc>
        <w:tc>
          <w:tcPr>
            <w:tcW w:w="5467" w:type="dxa"/>
          </w:tcPr>
          <w:p w:rsidR="00FB72A6" w:rsidRPr="002B3CE5" w:rsidRDefault="00FB72A6" w:rsidP="00A71565">
            <w:pPr>
              <w:pStyle w:val="a8"/>
              <w:spacing w:before="0" w:beforeAutospacing="0" w:after="0" w:afterAutospacing="0" w:line="240" w:lineRule="atLeast"/>
              <w:jc w:val="both"/>
            </w:pPr>
            <w:r w:rsidRPr="002B3CE5">
              <w:t xml:space="preserve">Цілі прийняття регуляторного акта можуть бути досягнуті повною мірою (проблема більше існувати не буде), прийняття регуляторного акту </w:t>
            </w:r>
            <w:r w:rsidR="007E78B7" w:rsidRPr="002B3CE5">
              <w:t xml:space="preserve">встановлення чіткої та прозорої процедури </w:t>
            </w:r>
            <w:r w:rsidR="00A71565">
              <w:rPr>
                <w:bCs/>
                <w:color w:val="000000"/>
              </w:rPr>
              <w:t>вивезення ТПВ</w:t>
            </w:r>
            <w:r w:rsidR="007E78B7" w:rsidRPr="002B3CE5">
              <w:rPr>
                <w:bCs/>
                <w:color w:val="000000"/>
              </w:rPr>
              <w:t xml:space="preserve"> </w:t>
            </w:r>
            <w:r w:rsidR="00AC4659" w:rsidRPr="002B3CE5">
              <w:rPr>
                <w:bCs/>
                <w:color w:val="000000"/>
              </w:rPr>
              <w:t>у населених пунктах</w:t>
            </w:r>
            <w:r w:rsidR="007E78B7" w:rsidRPr="002B3CE5">
              <w:rPr>
                <w:bCs/>
                <w:color w:val="000000"/>
              </w:rPr>
              <w:t xml:space="preserve"> </w:t>
            </w:r>
            <w:r w:rsidR="00AC4659" w:rsidRPr="002B3CE5">
              <w:rPr>
                <w:bCs/>
                <w:color w:val="000000"/>
              </w:rPr>
              <w:t>Щасливцевської сільської ради.</w:t>
            </w:r>
          </w:p>
        </w:tc>
      </w:tr>
    </w:tbl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1417"/>
        <w:gridCol w:w="3402"/>
      </w:tblGrid>
      <w:tr w:rsidR="00FB72A6" w:rsidRPr="002B3CE5" w:rsidTr="0075288A">
        <w:tc>
          <w:tcPr>
            <w:tcW w:w="2235" w:type="dxa"/>
            <w:vAlign w:val="center"/>
          </w:tcPr>
          <w:p w:rsidR="00FB72A6" w:rsidRPr="002B3CE5" w:rsidRDefault="00FB72A6" w:rsidP="002B3CE5">
            <w:pPr>
              <w:pStyle w:val="aa"/>
              <w:spacing w:before="0"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CE5">
              <w:rPr>
                <w:rFonts w:ascii="Times New Roman" w:hAnsi="Times New Roman"/>
                <w:b/>
                <w:sz w:val="24"/>
                <w:szCs w:val="24"/>
              </w:rPr>
              <w:t>Рейтинг результативності</w:t>
            </w:r>
          </w:p>
        </w:tc>
        <w:tc>
          <w:tcPr>
            <w:tcW w:w="2835" w:type="dxa"/>
            <w:vAlign w:val="center"/>
          </w:tcPr>
          <w:p w:rsidR="00FB72A6" w:rsidRPr="002B3CE5" w:rsidRDefault="00FB72A6" w:rsidP="002B3CE5">
            <w:pPr>
              <w:pStyle w:val="aa"/>
              <w:spacing w:before="0"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CE5">
              <w:rPr>
                <w:rFonts w:ascii="Times New Roman" w:hAnsi="Times New Roman"/>
                <w:b/>
                <w:sz w:val="24"/>
                <w:szCs w:val="24"/>
              </w:rPr>
              <w:t>Вигоди (підсумок)</w:t>
            </w:r>
          </w:p>
        </w:tc>
        <w:tc>
          <w:tcPr>
            <w:tcW w:w="1417" w:type="dxa"/>
            <w:vAlign w:val="center"/>
          </w:tcPr>
          <w:p w:rsidR="00FB72A6" w:rsidRPr="002B3CE5" w:rsidRDefault="00FB72A6" w:rsidP="002B3CE5">
            <w:pPr>
              <w:pStyle w:val="aa"/>
              <w:spacing w:before="0"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CE5">
              <w:rPr>
                <w:rFonts w:ascii="Times New Roman" w:hAnsi="Times New Roman"/>
                <w:b/>
                <w:sz w:val="24"/>
                <w:szCs w:val="24"/>
              </w:rPr>
              <w:t>Витрати (підсумок)</w:t>
            </w:r>
          </w:p>
        </w:tc>
        <w:tc>
          <w:tcPr>
            <w:tcW w:w="3402" w:type="dxa"/>
            <w:vAlign w:val="center"/>
          </w:tcPr>
          <w:p w:rsidR="00FB72A6" w:rsidRPr="002B3CE5" w:rsidRDefault="00FB72A6" w:rsidP="002B3CE5">
            <w:pPr>
              <w:pStyle w:val="aa"/>
              <w:spacing w:before="0" w:line="24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CE5">
              <w:rPr>
                <w:rFonts w:ascii="Times New Roman" w:hAnsi="Times New Roman"/>
                <w:b/>
                <w:sz w:val="24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FB72A6" w:rsidRPr="002B3CE5" w:rsidTr="0075288A">
        <w:tc>
          <w:tcPr>
            <w:tcW w:w="2235" w:type="dxa"/>
          </w:tcPr>
          <w:p w:rsidR="00FB72A6" w:rsidRPr="002B3CE5" w:rsidRDefault="00FB72A6" w:rsidP="002B3CE5">
            <w:pPr>
              <w:spacing w:line="240" w:lineRule="atLeast"/>
              <w:jc w:val="center"/>
            </w:pPr>
            <w:r w:rsidRPr="002B3CE5">
              <w:t>Альтернатива 1</w:t>
            </w:r>
          </w:p>
        </w:tc>
        <w:tc>
          <w:tcPr>
            <w:tcW w:w="2835" w:type="dxa"/>
          </w:tcPr>
          <w:p w:rsidR="00FB72A6" w:rsidRPr="002B3CE5" w:rsidRDefault="00FB72A6" w:rsidP="002B3CE5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2B3CE5">
              <w:t>Вигоди відсутні.</w:t>
            </w:r>
          </w:p>
        </w:tc>
        <w:tc>
          <w:tcPr>
            <w:tcW w:w="1417" w:type="dxa"/>
          </w:tcPr>
          <w:p w:rsidR="00FB72A6" w:rsidRPr="002B3CE5" w:rsidRDefault="0075288A" w:rsidP="0075288A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</w:tcPr>
          <w:p w:rsidR="00FB72A6" w:rsidRPr="002B3CE5" w:rsidRDefault="00AC4659" w:rsidP="002B3CE5">
            <w:pPr>
              <w:spacing w:line="240" w:lineRule="atLeast"/>
            </w:pPr>
            <w:r w:rsidRPr="002B3CE5">
              <w:t>Проблема продовжує існувати</w:t>
            </w:r>
          </w:p>
        </w:tc>
      </w:tr>
      <w:tr w:rsidR="00FB72A6" w:rsidRPr="002B3CE5" w:rsidTr="0075288A">
        <w:tc>
          <w:tcPr>
            <w:tcW w:w="2235" w:type="dxa"/>
          </w:tcPr>
          <w:p w:rsidR="00FB72A6" w:rsidRPr="002B3CE5" w:rsidRDefault="00FB72A6" w:rsidP="002B3CE5">
            <w:pPr>
              <w:spacing w:line="240" w:lineRule="atLeast"/>
              <w:jc w:val="center"/>
            </w:pPr>
            <w:r w:rsidRPr="002B3CE5">
              <w:t>Альтернатива 2</w:t>
            </w:r>
          </w:p>
        </w:tc>
        <w:tc>
          <w:tcPr>
            <w:tcW w:w="2835" w:type="dxa"/>
          </w:tcPr>
          <w:p w:rsidR="00FB72A6" w:rsidRPr="002B3CE5" w:rsidRDefault="00FB72A6" w:rsidP="0075288A">
            <w:pPr>
              <w:pStyle w:val="a8"/>
              <w:shd w:val="clear" w:color="auto" w:fill="FFFFFF"/>
              <w:tabs>
                <w:tab w:val="left" w:pos="1134"/>
              </w:tabs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2B3CE5">
              <w:rPr>
                <w:b/>
              </w:rPr>
              <w:t>1</w:t>
            </w:r>
            <w:r w:rsidR="0075288A">
              <w:rPr>
                <w:b/>
              </w:rPr>
              <w:t>0</w:t>
            </w:r>
          </w:p>
        </w:tc>
        <w:tc>
          <w:tcPr>
            <w:tcW w:w="1417" w:type="dxa"/>
          </w:tcPr>
          <w:p w:rsidR="00FB72A6" w:rsidRPr="002B3CE5" w:rsidRDefault="00FB72A6" w:rsidP="002B3CE5">
            <w:pPr>
              <w:pStyle w:val="a8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2B3CE5">
              <w:t xml:space="preserve">Витрати відсутні. </w:t>
            </w:r>
          </w:p>
        </w:tc>
        <w:tc>
          <w:tcPr>
            <w:tcW w:w="3402" w:type="dxa"/>
          </w:tcPr>
          <w:p w:rsidR="00FB72A6" w:rsidRPr="002B3CE5" w:rsidRDefault="00AC4659" w:rsidP="002B3CE5">
            <w:pPr>
              <w:pStyle w:val="a8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2B3CE5">
              <w:t>Проблема вирішена</w:t>
            </w:r>
          </w:p>
        </w:tc>
      </w:tr>
    </w:tbl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b/>
          <w:shd w:val="clear" w:color="auto" w:fill="FFFFFF"/>
        </w:rPr>
      </w:pPr>
      <w:r w:rsidRPr="002B3CE5">
        <w:rPr>
          <w:b/>
          <w:shd w:val="clear" w:color="auto" w:fill="FFFFFF"/>
        </w:rPr>
        <w:t>5.</w:t>
      </w:r>
      <w:r w:rsidRPr="002B3CE5">
        <w:rPr>
          <w:b/>
          <w:shd w:val="clear" w:color="auto" w:fill="FFFFFF"/>
        </w:rPr>
        <w:tab/>
        <w:t>Механізми та заходи, які забезпечать розв’язання визначеної проблеми.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rPr>
          <w:bCs/>
        </w:rPr>
        <w:t>Н</w:t>
      </w:r>
      <w:r w:rsidRPr="002B3CE5">
        <w:t xml:space="preserve">а підставі </w:t>
      </w:r>
      <w:r w:rsidRPr="002B3CE5">
        <w:rPr>
          <w:bCs/>
        </w:rPr>
        <w:t xml:space="preserve">проведеного вище аналізу регуляторного впливу найбільш оптимальним способом досягнення встановлених цілей є Альтернатива 2, тобто для розв’язання проблеми пропонується прийняти </w:t>
      </w:r>
      <w:r w:rsidRPr="002B3CE5">
        <w:t>запропонований регуляторний акт.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 xml:space="preserve">Розв’язання проблеми, визначеної у розділі І даного аналізу регуляторного впливу, досягається шляхом прийняття запропонованого проекту </w:t>
      </w:r>
      <w:r w:rsidRPr="00A71565">
        <w:t>рішення сільської ради</w:t>
      </w:r>
      <w:r w:rsidRPr="002B3CE5">
        <w:t xml:space="preserve"> </w:t>
      </w:r>
      <w:r w:rsidR="00A71565" w:rsidRPr="00825153">
        <w:rPr>
          <w:i/>
          <w:u w:val="single"/>
        </w:rPr>
        <w:t>"</w:t>
      </w:r>
      <w:r w:rsidR="00A71565" w:rsidRPr="00825153">
        <w:rPr>
          <w:u w:val="single"/>
        </w:rPr>
        <w:t>Про</w:t>
      </w:r>
      <w:r w:rsidR="00A71565" w:rsidRPr="00825153">
        <w:rPr>
          <w:u w:val="single"/>
          <w:lang w:eastAsia="ar-SA"/>
        </w:rPr>
        <w:t xml:space="preserve"> </w:t>
      </w:r>
      <w:r w:rsidR="00A71565">
        <w:rPr>
          <w:u w:val="single"/>
          <w:lang w:eastAsia="ar-SA"/>
        </w:rPr>
        <w:t>затвердження с</w:t>
      </w:r>
      <w:r w:rsidR="00A71565" w:rsidRPr="00825153">
        <w:rPr>
          <w:u w:val="single"/>
          <w:lang w:eastAsia="ar-SA"/>
        </w:rPr>
        <w:t>хем санітарного очищення</w:t>
      </w:r>
      <w:r w:rsidR="00A71565" w:rsidRPr="00825153">
        <w:rPr>
          <w:u w:val="single"/>
        </w:rPr>
        <w:t xml:space="preserve"> населених пунктів Щасливцевської сільської ради, с. Щасливцеве, с. Генічеська Гірка та с. Приозерне"</w:t>
      </w:r>
      <w:r w:rsidRPr="002B3CE5">
        <w:t>, який призведе до врегулювання відносин на частині території села.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rStyle w:val="a9"/>
          <w:b w:val="0"/>
          <w:bCs w:val="0"/>
        </w:rPr>
      </w:pPr>
      <w:r w:rsidRPr="002B3CE5">
        <w:rPr>
          <w:rStyle w:val="a9"/>
        </w:rPr>
        <w:t xml:space="preserve">Впровадження цього регуляторного акта передбачає здійснення органом місцевого самоврядування певних організаційних заходів на виконання та у відповідності до вимог законодавства України </w:t>
      </w:r>
      <w:r w:rsidR="00AE66F3">
        <w:rPr>
          <w:rStyle w:val="a9"/>
        </w:rPr>
        <w:t>«Про відходи»</w:t>
      </w:r>
      <w:r w:rsidRPr="002B3CE5">
        <w:t>, а саме</w:t>
      </w:r>
      <w:r w:rsidRPr="002B3CE5">
        <w:rPr>
          <w:rStyle w:val="a9"/>
        </w:rPr>
        <w:t>: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rPr>
          <w:rStyle w:val="a9"/>
        </w:rPr>
        <w:lastRenderedPageBreak/>
        <w:t>-</w:t>
      </w:r>
      <w:r w:rsidRPr="002B3CE5">
        <w:rPr>
          <w:rStyle w:val="a9"/>
        </w:rPr>
        <w:tab/>
      </w:r>
      <w:r w:rsidRPr="0075288A">
        <w:rPr>
          <w:rStyle w:val="a9"/>
          <w:b w:val="0"/>
        </w:rPr>
        <w:t xml:space="preserve">складання структурним підрозділом сільської ради, який відповідає за впровадження цього регуляторного акта, </w:t>
      </w:r>
      <w:r w:rsidRPr="0075288A">
        <w:t>відповідного проекту рішення (внесеного до плану діяльності з підготовки проектів регуляторних</w:t>
      </w:r>
      <w:r w:rsidRPr="002B3CE5">
        <w:t xml:space="preserve"> актів) та аналізу регуляторного впливу до нього;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>-</w:t>
      </w:r>
      <w:r w:rsidRPr="002B3CE5">
        <w:tab/>
        <w:t>проведення базового відстеження;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>-</w:t>
      </w:r>
      <w:r w:rsidRPr="002B3CE5">
        <w:tab/>
        <w:t>оприлюднення проекту регуляторного акту разом з аналізом регуляторного впливу з метою обговорення та одержання зауважень та пропозицій від фізичних та юридичних осіб;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>-</w:t>
      </w:r>
      <w:r w:rsidRPr="002B3CE5">
        <w:tab/>
        <w:t>отримання від відповідальної експертної постійної комісії експертного висновку про відповідність проекту регуляторного акта засадам державної регуляторної політики;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>-</w:t>
      </w:r>
      <w:r w:rsidRPr="002B3CE5">
        <w:tab/>
        <w:t>розглядання проекту рішення на профільних комісіях та винесення на розгляд сільської ради;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>-</w:t>
      </w:r>
      <w:r w:rsidRPr="002B3CE5">
        <w:tab/>
        <w:t>у разі прийняття регуляторного акту оприлюднення рішення у спосіб, найбільш доступний для населення ради.</w:t>
      </w:r>
    </w:p>
    <w:p w:rsidR="00D23817" w:rsidRPr="002B3CE5" w:rsidRDefault="00D23817" w:rsidP="001E6569">
      <w:pPr>
        <w:pStyle w:val="xfmc9"/>
        <w:shd w:val="clear" w:color="auto" w:fill="FFFFFF"/>
        <w:spacing w:before="0" w:beforeAutospacing="0" w:after="0" w:afterAutospacing="0" w:line="198" w:lineRule="atLeast"/>
        <w:ind w:firstLine="567"/>
        <w:jc w:val="both"/>
        <w:rPr>
          <w:color w:val="000000"/>
        </w:rPr>
      </w:pPr>
      <w:r w:rsidRPr="002B3CE5">
        <w:rPr>
          <w:color w:val="000000"/>
        </w:rPr>
        <w:t>Реалізація даного механізму та заходів вирішить проблему, яку передбачається розв’язати шляхом державного регулювання, та забезпечить високий ступінь ефективності досягнення цілей визначених при розробці регуляторного акта.</w:t>
      </w:r>
    </w:p>
    <w:p w:rsidR="00D23817" w:rsidRPr="002B3CE5" w:rsidRDefault="00D23817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b/>
        </w:rPr>
      </w:pPr>
      <w:r w:rsidRPr="002B3CE5">
        <w:rPr>
          <w:b/>
        </w:rPr>
        <w:t>6.</w:t>
      </w:r>
      <w:r w:rsidRPr="002B3CE5">
        <w:rPr>
          <w:b/>
        </w:rPr>
        <w:tab/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вимоги.</w:t>
      </w:r>
    </w:p>
    <w:p w:rsidR="00FB72A6" w:rsidRPr="002B3CE5" w:rsidRDefault="00FB72A6" w:rsidP="001E6569">
      <w:pPr>
        <w:spacing w:line="240" w:lineRule="atLeast"/>
        <w:ind w:firstLine="567"/>
        <w:jc w:val="both"/>
      </w:pPr>
      <w:r w:rsidRPr="002B3CE5">
        <w:t>Введення в дію регуляторного акта вже не потребує збільшення штату державних службовців, а лише упорядковує вже існуючу діяльність із зазначеного питання.</w:t>
      </w:r>
    </w:p>
    <w:p w:rsidR="00FB72A6" w:rsidRPr="002B3CE5" w:rsidRDefault="00FB72A6" w:rsidP="001E6569">
      <w:pPr>
        <w:pStyle w:val="aa"/>
        <w:spacing w:before="0" w:line="240" w:lineRule="atLeast"/>
        <w:jc w:val="both"/>
        <w:rPr>
          <w:rFonts w:ascii="Times New Roman" w:hAnsi="Times New Roman"/>
          <w:sz w:val="24"/>
          <w:szCs w:val="24"/>
        </w:rPr>
      </w:pPr>
      <w:r w:rsidRPr="002B3CE5">
        <w:rPr>
          <w:rFonts w:ascii="Times New Roman" w:hAnsi="Times New Roman"/>
          <w:sz w:val="24"/>
          <w:szCs w:val="24"/>
        </w:rPr>
        <w:t>Інформація про розрахунок витрат, пов’язаних з виконанням вимог регуляторного акта залежно від ресурсів, якими розпоряджаються органи виконавчої влади, органи місцевого самоврядування, фізичні та юридичні особи, які повинні впроваджувати або виконувати ці вимоги приведена у додатках 2 і 3 до даного аналізу впливу регуляторного акта.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b/>
        </w:rPr>
      </w:pPr>
      <w:r w:rsidRPr="002B3CE5">
        <w:rPr>
          <w:b/>
        </w:rPr>
        <w:t>7.</w:t>
      </w:r>
      <w:r w:rsidRPr="002B3CE5">
        <w:rPr>
          <w:b/>
        </w:rPr>
        <w:tab/>
        <w:t>Обґрунтування запропонованого строку дії регуляторного акта.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>Запропонований проект регуляторного акту запроваджується безстроково, за умови відсутності впливу на його дію зовнішніх чинників – змін до діючого законодавства.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b/>
        </w:rPr>
      </w:pPr>
      <w:r w:rsidRPr="002B3CE5">
        <w:t>У разі потреби, до нього вноситимуться зміни за підсумками аналізу відстеження результатів його дії.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b/>
        </w:rPr>
      </w:pPr>
      <w:r w:rsidRPr="002B3CE5">
        <w:rPr>
          <w:b/>
        </w:rPr>
        <w:t>8.</w:t>
      </w:r>
      <w:r w:rsidRPr="002B3CE5">
        <w:rPr>
          <w:b/>
        </w:rPr>
        <w:tab/>
        <w:t>Визначення показників результативності дії регуляторного акта.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 xml:space="preserve">Ефективність регуляторного впливу проекту рішення Щасливцевської сільської ради </w:t>
      </w:r>
      <w:r w:rsidR="00AE66F3" w:rsidRPr="00825153">
        <w:rPr>
          <w:i/>
          <w:u w:val="single"/>
        </w:rPr>
        <w:t>"</w:t>
      </w:r>
      <w:r w:rsidR="00AE66F3" w:rsidRPr="00825153">
        <w:rPr>
          <w:u w:val="single"/>
        </w:rPr>
        <w:t>Про</w:t>
      </w:r>
      <w:r w:rsidR="00AE66F3" w:rsidRPr="00825153">
        <w:rPr>
          <w:u w:val="single"/>
          <w:lang w:eastAsia="ar-SA"/>
        </w:rPr>
        <w:t xml:space="preserve"> </w:t>
      </w:r>
      <w:r w:rsidR="00AE66F3">
        <w:rPr>
          <w:u w:val="single"/>
          <w:lang w:eastAsia="ar-SA"/>
        </w:rPr>
        <w:t>затвердження с</w:t>
      </w:r>
      <w:r w:rsidR="00AE66F3" w:rsidRPr="00825153">
        <w:rPr>
          <w:u w:val="single"/>
          <w:lang w:eastAsia="ar-SA"/>
        </w:rPr>
        <w:t>хем санітарного очищення</w:t>
      </w:r>
      <w:r w:rsidR="00AE66F3" w:rsidRPr="00825153">
        <w:rPr>
          <w:u w:val="single"/>
        </w:rPr>
        <w:t xml:space="preserve"> населених пунктів Щасливцевської сільської ради, с. Щасливцеве, с. Генічеська Гірка та с. Приозерне"</w:t>
      </w:r>
      <w:r w:rsidR="0046148D" w:rsidRPr="002B3CE5">
        <w:t xml:space="preserve">, </w:t>
      </w:r>
      <w:r w:rsidRPr="002B3CE5">
        <w:t>визначатиметься за такими показниками:</w:t>
      </w:r>
    </w:p>
    <w:p w:rsidR="00FB72A6" w:rsidRDefault="007D0725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>-</w:t>
      </w:r>
      <w:r w:rsidR="00FB72A6" w:rsidRPr="002B3CE5">
        <w:tab/>
      </w:r>
      <w:r w:rsidR="00AE66F3" w:rsidRPr="00AE66F3">
        <w:t>знищення стихійних звалищ</w:t>
      </w:r>
    </w:p>
    <w:p w:rsidR="007D0725" w:rsidRPr="002B3CE5" w:rsidRDefault="00AE66F3" w:rsidP="00AE66F3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>
        <w:t>-</w:t>
      </w:r>
      <w:r>
        <w:tab/>
        <w:t>ефективність прибирання ТПВ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b/>
        </w:rPr>
      </w:pPr>
      <w:r w:rsidRPr="002B3CE5">
        <w:rPr>
          <w:b/>
        </w:rPr>
        <w:t>9.</w:t>
      </w:r>
      <w:r w:rsidRPr="002B3CE5">
        <w:rPr>
          <w:b/>
        </w:rPr>
        <w:tab/>
        <w:t>Визначення заходів, за допомогою яких здійснюватиметься відстеження результативності дії регуляторного акта.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</w:pPr>
      <w:r w:rsidRPr="002B3CE5">
        <w:t xml:space="preserve">Відстеження </w:t>
      </w:r>
      <w:r w:rsidR="00361395" w:rsidRPr="002B3CE5">
        <w:t>результативності буде здійснюватись протягом усього терміну дії шляхом розгляду пропозицій та зауважень</w:t>
      </w:r>
      <w:r w:rsidR="00DD186F" w:rsidRPr="002B3CE5">
        <w:t>,</w:t>
      </w:r>
      <w:r w:rsidR="00AE66F3">
        <w:t xml:space="preserve"> </w:t>
      </w:r>
      <w:r w:rsidR="00DD186F" w:rsidRPr="002B3CE5">
        <w:t>які надійдуть до виконавчого комітету Щасливцевської сільської ради, з метою подальшого вдосконалення рішення сільської ради.</w:t>
      </w: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b/>
        </w:rPr>
      </w:pP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b/>
        </w:rPr>
      </w:pP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b/>
        </w:rPr>
      </w:pPr>
    </w:p>
    <w:p w:rsidR="00FB72A6" w:rsidRPr="002B3CE5" w:rsidRDefault="00FB72A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b/>
        </w:rPr>
      </w:pPr>
    </w:p>
    <w:p w:rsidR="002A06D6" w:rsidRPr="002B3CE5" w:rsidRDefault="002A06D6" w:rsidP="001E656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b/>
        </w:rPr>
      </w:pPr>
      <w:r w:rsidRPr="002B3CE5">
        <w:rPr>
          <w:b/>
        </w:rPr>
        <w:tab/>
        <w:t>Секретар ради</w:t>
      </w:r>
      <w:r w:rsidRPr="002B3CE5">
        <w:rPr>
          <w:b/>
        </w:rPr>
        <w:tab/>
      </w:r>
      <w:r w:rsidRPr="002B3CE5">
        <w:rPr>
          <w:b/>
        </w:rPr>
        <w:tab/>
      </w:r>
      <w:r w:rsidRPr="002B3CE5">
        <w:rPr>
          <w:b/>
        </w:rPr>
        <w:tab/>
      </w:r>
      <w:r w:rsidRPr="002B3CE5">
        <w:rPr>
          <w:b/>
        </w:rPr>
        <w:tab/>
      </w:r>
      <w:r w:rsidRPr="002B3CE5">
        <w:rPr>
          <w:b/>
        </w:rPr>
        <w:tab/>
      </w:r>
      <w:r w:rsidRPr="002B3CE5">
        <w:rPr>
          <w:b/>
        </w:rPr>
        <w:tab/>
      </w:r>
      <w:r w:rsidRPr="002B3CE5">
        <w:rPr>
          <w:b/>
        </w:rPr>
        <w:tab/>
        <w:t>І.</w:t>
      </w:r>
      <w:r w:rsidR="00EC305E" w:rsidRPr="002B3CE5">
        <w:rPr>
          <w:b/>
        </w:rPr>
        <w:t xml:space="preserve"> </w:t>
      </w:r>
      <w:r w:rsidRPr="002B3CE5">
        <w:rPr>
          <w:b/>
        </w:rPr>
        <w:t xml:space="preserve">В. </w:t>
      </w:r>
      <w:proofErr w:type="spellStart"/>
      <w:r w:rsidRPr="002B3CE5">
        <w:rPr>
          <w:b/>
        </w:rPr>
        <w:t>Пуляєва</w:t>
      </w:r>
      <w:proofErr w:type="spellEnd"/>
    </w:p>
    <w:p w:rsidR="002A06D6" w:rsidRPr="002B3CE5" w:rsidRDefault="002A06D6" w:rsidP="002A06D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</w:p>
    <w:p w:rsidR="001E6569" w:rsidRPr="002B3CE5" w:rsidRDefault="001E6569">
      <w:pPr>
        <w:spacing w:after="200" w:line="276" w:lineRule="auto"/>
        <w:rPr>
          <w:b/>
        </w:rPr>
      </w:pPr>
      <w:r w:rsidRPr="002B3CE5">
        <w:rPr>
          <w:b/>
        </w:rPr>
        <w:br w:type="page"/>
      </w:r>
    </w:p>
    <w:p w:rsidR="002A06D6" w:rsidRPr="002B3CE5" w:rsidRDefault="002A06D6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</w:p>
    <w:p w:rsidR="00FB72A6" w:rsidRPr="002B3CE5" w:rsidRDefault="00FB72A6" w:rsidP="00FB72A6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  <w:r w:rsidRPr="002B3CE5">
        <w:t>Додаток 2</w:t>
      </w:r>
    </w:p>
    <w:p w:rsidR="00FB72A6" w:rsidRPr="002B3CE5" w:rsidRDefault="00FB72A6" w:rsidP="00FB72A6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  <w:r w:rsidRPr="002B3CE5">
        <w:rPr>
          <w:color w:val="000000"/>
        </w:rPr>
        <w:t>до Методики проведення аналізу впливу регуляторного акта</w:t>
      </w:r>
    </w:p>
    <w:p w:rsidR="00FB72A6" w:rsidRPr="002B3CE5" w:rsidRDefault="00FB72A6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FB72A6" w:rsidRPr="002B3CE5" w:rsidRDefault="00FB72A6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2B3CE5">
        <w:rPr>
          <w:b/>
          <w:color w:val="000000"/>
        </w:rPr>
        <w:t xml:space="preserve">ВИТРАТИ </w:t>
      </w:r>
    </w:p>
    <w:p w:rsidR="00FB72A6" w:rsidRDefault="00FB72A6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2B3CE5">
        <w:rPr>
          <w:b/>
          <w:color w:val="000000"/>
        </w:rPr>
        <w:t xml:space="preserve">на одного суб’єкта господарювання </w:t>
      </w:r>
      <w:r w:rsidRPr="002B3CE5">
        <w:rPr>
          <w:b/>
          <w:color w:val="000000"/>
          <w:u w:val="single"/>
        </w:rPr>
        <w:t>великого і середнього підприємництва</w:t>
      </w:r>
      <w:r w:rsidRPr="002B3CE5">
        <w:rPr>
          <w:b/>
          <w:color w:val="000000"/>
        </w:rPr>
        <w:t>, які виникають внаслідок дії регуляторного акта</w:t>
      </w:r>
    </w:p>
    <w:p w:rsidR="0075288A" w:rsidRPr="002B3CE5" w:rsidRDefault="0075288A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72"/>
        <w:gridCol w:w="1866"/>
        <w:gridCol w:w="1202"/>
      </w:tblGrid>
      <w:tr w:rsidR="00FB72A6" w:rsidRPr="0075288A" w:rsidTr="005D0F52">
        <w:tc>
          <w:tcPr>
            <w:tcW w:w="648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75288A">
              <w:rPr>
                <w:b/>
                <w:color w:val="000000"/>
                <w:sz w:val="16"/>
                <w:szCs w:val="16"/>
              </w:rPr>
              <w:t>№ з/п</w:t>
            </w:r>
          </w:p>
        </w:tc>
        <w:tc>
          <w:tcPr>
            <w:tcW w:w="6472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75288A">
              <w:rPr>
                <w:b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1866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75288A">
              <w:rPr>
                <w:b/>
                <w:color w:val="000000"/>
                <w:sz w:val="16"/>
                <w:szCs w:val="16"/>
              </w:rPr>
              <w:t>За перший рік</w:t>
            </w:r>
          </w:p>
        </w:tc>
        <w:tc>
          <w:tcPr>
            <w:tcW w:w="1202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75288A">
              <w:rPr>
                <w:b/>
                <w:color w:val="000000"/>
                <w:sz w:val="16"/>
                <w:szCs w:val="16"/>
              </w:rPr>
              <w:t>За 5 років</w:t>
            </w:r>
          </w:p>
        </w:tc>
      </w:tr>
      <w:tr w:rsidR="00FB72A6" w:rsidRPr="0075288A" w:rsidTr="005D0F52">
        <w:trPr>
          <w:trHeight w:val="85"/>
        </w:trPr>
        <w:tc>
          <w:tcPr>
            <w:tcW w:w="648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472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75288A">
              <w:rPr>
                <w:sz w:val="16"/>
                <w:szCs w:val="16"/>
              </w:rPr>
              <w:t>Витрати на придбання основних фондів, обладнання та приладів, сервісне обслуговування, навчання/ підвищення кваліфікації персоналу тощо, гривень</w:t>
            </w:r>
          </w:p>
        </w:tc>
        <w:tc>
          <w:tcPr>
            <w:tcW w:w="1866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Додаткові витрати не передбачаються</w:t>
            </w:r>
          </w:p>
        </w:tc>
        <w:tc>
          <w:tcPr>
            <w:tcW w:w="1202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FB72A6" w:rsidRPr="0075288A" w:rsidTr="005D0F52">
        <w:tc>
          <w:tcPr>
            <w:tcW w:w="648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72" w:type="dxa"/>
          </w:tcPr>
          <w:p w:rsidR="00FB72A6" w:rsidRPr="0075288A" w:rsidRDefault="00FB72A6" w:rsidP="005D0F52">
            <w:pPr>
              <w:pStyle w:val="aa"/>
              <w:spacing w:before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75288A">
              <w:rPr>
                <w:rFonts w:ascii="Times New Roman" w:hAnsi="Times New Roman"/>
                <w:sz w:val="16"/>
                <w:szCs w:val="16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866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Додаткові витрати не передбачаються</w:t>
            </w:r>
          </w:p>
        </w:tc>
        <w:tc>
          <w:tcPr>
            <w:tcW w:w="1202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FB72A6" w:rsidRPr="0075288A" w:rsidTr="005D0F52">
        <w:tc>
          <w:tcPr>
            <w:tcW w:w="648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72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75288A">
              <w:rPr>
                <w:sz w:val="16"/>
                <w:szCs w:val="16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866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Додаткові витрати не передбачаються</w:t>
            </w:r>
          </w:p>
        </w:tc>
        <w:tc>
          <w:tcPr>
            <w:tcW w:w="1202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FB72A6" w:rsidRPr="0075288A" w:rsidTr="005D0F52">
        <w:trPr>
          <w:trHeight w:val="85"/>
        </w:trPr>
        <w:tc>
          <w:tcPr>
            <w:tcW w:w="648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72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75288A">
              <w:rPr>
                <w:sz w:val="16"/>
                <w:szCs w:val="16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866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Додаткові витрати не передбачаються</w:t>
            </w:r>
          </w:p>
        </w:tc>
        <w:tc>
          <w:tcPr>
            <w:tcW w:w="1202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FB72A6" w:rsidRPr="0075288A" w:rsidTr="005D0F52">
        <w:tc>
          <w:tcPr>
            <w:tcW w:w="648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472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75288A">
              <w:rPr>
                <w:sz w:val="16"/>
                <w:szCs w:val="16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866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Виконання вимог регуляторного акта не передбачає додаткових витрат коштів та часу</w:t>
            </w:r>
          </w:p>
        </w:tc>
        <w:tc>
          <w:tcPr>
            <w:tcW w:w="1202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FB72A6" w:rsidRPr="0075288A" w:rsidTr="005D0F52">
        <w:tc>
          <w:tcPr>
            <w:tcW w:w="648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72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75288A">
              <w:rPr>
                <w:sz w:val="16"/>
                <w:szCs w:val="16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866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Додаткові витрати не передбачаються</w:t>
            </w:r>
          </w:p>
        </w:tc>
        <w:tc>
          <w:tcPr>
            <w:tcW w:w="1202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FB72A6" w:rsidRPr="0075288A" w:rsidTr="005D0F52">
        <w:tc>
          <w:tcPr>
            <w:tcW w:w="648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472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75288A">
              <w:rPr>
                <w:sz w:val="16"/>
                <w:szCs w:val="16"/>
              </w:rPr>
              <w:t>Витрати, пов’язані із наймом додаткового персоналу, гривень</w:t>
            </w:r>
          </w:p>
        </w:tc>
        <w:tc>
          <w:tcPr>
            <w:tcW w:w="1866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Додаткові витрати не передбачаються</w:t>
            </w:r>
          </w:p>
        </w:tc>
        <w:tc>
          <w:tcPr>
            <w:tcW w:w="1202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FB72A6" w:rsidRPr="0075288A" w:rsidTr="005D0F52">
        <w:tc>
          <w:tcPr>
            <w:tcW w:w="648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472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75288A">
              <w:rPr>
                <w:sz w:val="16"/>
                <w:szCs w:val="16"/>
              </w:rPr>
              <w:t>Інше (уточнити), гривень</w:t>
            </w:r>
          </w:p>
        </w:tc>
        <w:tc>
          <w:tcPr>
            <w:tcW w:w="1866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02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FB72A6" w:rsidRPr="0075288A" w:rsidTr="005D0F52">
        <w:tc>
          <w:tcPr>
            <w:tcW w:w="648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472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75288A">
              <w:rPr>
                <w:sz w:val="16"/>
                <w:szCs w:val="16"/>
              </w:rPr>
              <w:t>РАЗОМ (сума рядків: 1 + 2 + 3 + 4 + 5 + 6 + 7 + 8), гривень</w:t>
            </w:r>
          </w:p>
        </w:tc>
        <w:tc>
          <w:tcPr>
            <w:tcW w:w="1866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02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FB72A6" w:rsidRPr="0075288A" w:rsidTr="005D0F52">
        <w:tc>
          <w:tcPr>
            <w:tcW w:w="648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472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75288A">
              <w:rPr>
                <w:sz w:val="16"/>
                <w:szCs w:val="16"/>
              </w:rPr>
              <w:t>Кількість суб’єктів господарювання великого та  середнього підприємництва, на яких буде поширено регулювання, одиниць</w:t>
            </w:r>
          </w:p>
        </w:tc>
        <w:tc>
          <w:tcPr>
            <w:tcW w:w="1866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02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FB72A6" w:rsidRPr="0075288A" w:rsidTr="005D0F52">
        <w:tc>
          <w:tcPr>
            <w:tcW w:w="648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472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75288A">
              <w:rPr>
                <w:sz w:val="16"/>
                <w:szCs w:val="16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 10), гривень</w:t>
            </w:r>
          </w:p>
        </w:tc>
        <w:tc>
          <w:tcPr>
            <w:tcW w:w="1866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Додаткові витрати не передбачаються</w:t>
            </w:r>
          </w:p>
        </w:tc>
        <w:tc>
          <w:tcPr>
            <w:tcW w:w="1202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B72A6" w:rsidRPr="002B3CE5" w:rsidRDefault="00FB72A6" w:rsidP="00FB72A6">
      <w:pPr>
        <w:pStyle w:val="aa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72A6" w:rsidRPr="002B3CE5" w:rsidRDefault="00FB72A6" w:rsidP="00FB72A6">
      <w:pPr>
        <w:pStyle w:val="aa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2B3CE5">
        <w:rPr>
          <w:rFonts w:ascii="Times New Roman" w:hAnsi="Times New Roman"/>
          <w:sz w:val="24"/>
          <w:szCs w:val="24"/>
        </w:rPr>
        <w:t>1Розрахунок відповідних витрат на одного суб’єкта господарювання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01"/>
        <w:gridCol w:w="1701"/>
        <w:gridCol w:w="2127"/>
      </w:tblGrid>
      <w:tr w:rsidR="00FB72A6" w:rsidRPr="0075288A" w:rsidTr="0075288A">
        <w:tc>
          <w:tcPr>
            <w:tcW w:w="4644" w:type="dxa"/>
          </w:tcPr>
          <w:p w:rsidR="00FB72A6" w:rsidRPr="0075288A" w:rsidRDefault="00FB72A6" w:rsidP="005D0F52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Вид витрат</w:t>
            </w:r>
          </w:p>
        </w:tc>
        <w:tc>
          <w:tcPr>
            <w:tcW w:w="1701" w:type="dxa"/>
          </w:tcPr>
          <w:p w:rsidR="00FB72A6" w:rsidRPr="0075288A" w:rsidRDefault="00FB72A6" w:rsidP="005D0F52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У перший рік</w:t>
            </w:r>
          </w:p>
        </w:tc>
        <w:tc>
          <w:tcPr>
            <w:tcW w:w="1701" w:type="dxa"/>
          </w:tcPr>
          <w:p w:rsidR="00FB72A6" w:rsidRPr="0075288A" w:rsidRDefault="00FB72A6" w:rsidP="005D0F52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Періодичні (за рік)</w:t>
            </w:r>
          </w:p>
        </w:tc>
        <w:tc>
          <w:tcPr>
            <w:tcW w:w="2127" w:type="dxa"/>
          </w:tcPr>
          <w:p w:rsidR="00FB72A6" w:rsidRPr="0075288A" w:rsidRDefault="00FB72A6" w:rsidP="005D0F52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Витрати за п’ять років</w:t>
            </w:r>
          </w:p>
        </w:tc>
      </w:tr>
      <w:tr w:rsidR="00FB72A6" w:rsidRPr="0075288A" w:rsidTr="0075288A">
        <w:tc>
          <w:tcPr>
            <w:tcW w:w="4644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75288A">
              <w:rPr>
                <w:sz w:val="16"/>
                <w:szCs w:val="16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1701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Додаткові витрати не передбачаються</w:t>
            </w:r>
          </w:p>
        </w:tc>
        <w:tc>
          <w:tcPr>
            <w:tcW w:w="1701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Додаткові витрати не передбачаються</w:t>
            </w:r>
          </w:p>
        </w:tc>
        <w:tc>
          <w:tcPr>
            <w:tcW w:w="2127" w:type="dxa"/>
          </w:tcPr>
          <w:p w:rsidR="00FB72A6" w:rsidRPr="0075288A" w:rsidRDefault="00FB72A6" w:rsidP="005D0F52">
            <w:pPr>
              <w:pStyle w:val="a8"/>
              <w:spacing w:before="12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Додаткові витрати не передбачаються</w:t>
            </w:r>
          </w:p>
        </w:tc>
      </w:tr>
    </w:tbl>
    <w:p w:rsidR="00FB72A6" w:rsidRPr="002B3CE5" w:rsidRDefault="00FB72A6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3377"/>
        <w:gridCol w:w="1560"/>
      </w:tblGrid>
      <w:tr w:rsidR="00FB72A6" w:rsidRPr="0075288A" w:rsidTr="0075288A">
        <w:tc>
          <w:tcPr>
            <w:tcW w:w="5236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Вид витрат</w:t>
            </w:r>
          </w:p>
        </w:tc>
        <w:tc>
          <w:tcPr>
            <w:tcW w:w="3377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1560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Витрати за п’ять років</w:t>
            </w:r>
          </w:p>
        </w:tc>
      </w:tr>
      <w:tr w:rsidR="00FB72A6" w:rsidRPr="0075288A" w:rsidTr="0075288A">
        <w:tc>
          <w:tcPr>
            <w:tcW w:w="5236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75288A">
              <w:rPr>
                <w:sz w:val="16"/>
                <w:szCs w:val="16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377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Додаткові витрати не передбачаються</w:t>
            </w:r>
          </w:p>
        </w:tc>
        <w:tc>
          <w:tcPr>
            <w:tcW w:w="1560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B72A6" w:rsidRDefault="00FB72A6" w:rsidP="00FB72A6">
      <w:pPr>
        <w:pStyle w:val="a8"/>
        <w:spacing w:before="120" w:beforeAutospacing="0" w:after="0" w:afterAutospacing="0"/>
        <w:ind w:firstLine="709"/>
        <w:jc w:val="both"/>
        <w:rPr>
          <w:color w:val="000000"/>
        </w:rPr>
      </w:pPr>
    </w:p>
    <w:p w:rsidR="0075288A" w:rsidRPr="002B3CE5" w:rsidRDefault="0075288A" w:rsidP="00FB72A6">
      <w:pPr>
        <w:pStyle w:val="a8"/>
        <w:spacing w:before="120" w:beforeAutospacing="0" w:after="0" w:afterAutospacing="0"/>
        <w:ind w:firstLine="709"/>
        <w:jc w:val="both"/>
        <w:rPr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2268"/>
        <w:gridCol w:w="1112"/>
        <w:gridCol w:w="850"/>
        <w:gridCol w:w="2552"/>
      </w:tblGrid>
      <w:tr w:rsidR="00FB72A6" w:rsidRPr="0075288A" w:rsidTr="0075288A">
        <w:tc>
          <w:tcPr>
            <w:tcW w:w="3391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Вид витрат</w:t>
            </w:r>
          </w:p>
        </w:tc>
        <w:tc>
          <w:tcPr>
            <w:tcW w:w="2268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1112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Витрати на оплату штрафних санкцій за рік</w:t>
            </w:r>
          </w:p>
        </w:tc>
        <w:tc>
          <w:tcPr>
            <w:tcW w:w="850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Разом за рік</w:t>
            </w:r>
          </w:p>
        </w:tc>
        <w:tc>
          <w:tcPr>
            <w:tcW w:w="2552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Витрати за п’ять років</w:t>
            </w:r>
          </w:p>
        </w:tc>
      </w:tr>
      <w:tr w:rsidR="00FB72A6" w:rsidRPr="0075288A" w:rsidTr="0075288A">
        <w:tc>
          <w:tcPr>
            <w:tcW w:w="3391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75288A">
              <w:rPr>
                <w:sz w:val="16"/>
                <w:szCs w:val="16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2268" w:type="dxa"/>
          </w:tcPr>
          <w:p w:rsidR="00FB72A6" w:rsidRPr="0075288A" w:rsidRDefault="00FB72A6" w:rsidP="005D0F52">
            <w:pPr>
              <w:pStyle w:val="a5"/>
              <w:tabs>
                <w:tab w:val="num" w:pos="360"/>
              </w:tabs>
              <w:ind w:right="0"/>
              <w:rPr>
                <w:sz w:val="16"/>
                <w:szCs w:val="16"/>
              </w:rPr>
            </w:pPr>
            <w:r w:rsidRPr="0075288A">
              <w:rPr>
                <w:sz w:val="16"/>
                <w:szCs w:val="16"/>
              </w:rPr>
              <w:t>Виконання вимог регуляторного акта не передбачатиме додаткових витрат коштів та часу.</w:t>
            </w:r>
          </w:p>
        </w:tc>
        <w:tc>
          <w:tcPr>
            <w:tcW w:w="1112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FB72A6" w:rsidRPr="0075288A" w:rsidRDefault="00FB72A6" w:rsidP="005D0F52">
            <w:pPr>
              <w:pStyle w:val="a5"/>
              <w:tabs>
                <w:tab w:val="num" w:pos="360"/>
              </w:tabs>
              <w:ind w:right="0"/>
              <w:rPr>
                <w:sz w:val="16"/>
                <w:szCs w:val="16"/>
              </w:rPr>
            </w:pPr>
            <w:r w:rsidRPr="0075288A">
              <w:rPr>
                <w:sz w:val="16"/>
                <w:szCs w:val="16"/>
              </w:rPr>
              <w:t>Виконання вимог регуляторного акта не передбачатиме додаткових витрат коштів та часу.</w:t>
            </w:r>
          </w:p>
        </w:tc>
      </w:tr>
    </w:tbl>
    <w:p w:rsidR="00FB72A6" w:rsidRPr="002B3CE5" w:rsidRDefault="00FB72A6" w:rsidP="00FB72A6">
      <w:pPr>
        <w:pStyle w:val="aa"/>
        <w:spacing w:before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2B3CE5">
        <w:rPr>
          <w:rFonts w:ascii="Times New Roman" w:hAnsi="Times New Roman"/>
          <w:i/>
          <w:sz w:val="24"/>
          <w:szCs w:val="24"/>
        </w:rPr>
        <w:lastRenderedPageBreak/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07"/>
        <w:gridCol w:w="1440"/>
        <w:gridCol w:w="885"/>
        <w:gridCol w:w="1980"/>
      </w:tblGrid>
      <w:tr w:rsidR="00FB72A6" w:rsidRPr="0075288A" w:rsidTr="0075288A">
        <w:tc>
          <w:tcPr>
            <w:tcW w:w="4361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Вид витрат</w:t>
            </w:r>
          </w:p>
        </w:tc>
        <w:tc>
          <w:tcPr>
            <w:tcW w:w="1507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1440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Витрати на оплату штрафних санкцій та усунення виявлених порушень  (за рік)</w:t>
            </w:r>
          </w:p>
        </w:tc>
        <w:tc>
          <w:tcPr>
            <w:tcW w:w="885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Разом за рік</w:t>
            </w:r>
          </w:p>
        </w:tc>
        <w:tc>
          <w:tcPr>
            <w:tcW w:w="1980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Витрати за п’ять років</w:t>
            </w:r>
          </w:p>
        </w:tc>
      </w:tr>
      <w:tr w:rsidR="00FB72A6" w:rsidRPr="0075288A" w:rsidTr="0075288A">
        <w:tc>
          <w:tcPr>
            <w:tcW w:w="4361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75288A">
              <w:rPr>
                <w:sz w:val="16"/>
                <w:szCs w:val="16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507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0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B72A6" w:rsidRPr="002B3CE5" w:rsidRDefault="00FB72A6" w:rsidP="00FB72A6">
      <w:pPr>
        <w:pStyle w:val="aa"/>
        <w:spacing w:before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2B3CE5">
        <w:rPr>
          <w:rFonts w:ascii="Times New Roman" w:hAnsi="Times New Roman"/>
          <w:i/>
          <w:sz w:val="24"/>
          <w:szCs w:val="24"/>
        </w:rPr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p w:rsidR="00FB72A6" w:rsidRPr="002B3CE5" w:rsidRDefault="00FB72A6" w:rsidP="00FB72A6">
      <w:pPr>
        <w:pStyle w:val="aa"/>
        <w:spacing w:before="0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984"/>
        <w:gridCol w:w="1843"/>
        <w:gridCol w:w="1850"/>
      </w:tblGrid>
      <w:tr w:rsidR="00FB72A6" w:rsidRPr="0075288A" w:rsidTr="005D0F52">
        <w:tc>
          <w:tcPr>
            <w:tcW w:w="3085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Вид витрат</w:t>
            </w:r>
          </w:p>
        </w:tc>
        <w:tc>
          <w:tcPr>
            <w:tcW w:w="1418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984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 xml:space="preserve">Витрати безпосередньо на дозволи, ліцензії, сертифікати, страхові поліси </w:t>
            </w:r>
            <w:r w:rsidRPr="0075288A">
              <w:rPr>
                <w:rFonts w:ascii="Times New Roman" w:hAnsi="Times New Roman"/>
                <w:b/>
                <w:sz w:val="16"/>
                <w:szCs w:val="16"/>
              </w:rPr>
              <w:br/>
              <w:t>(за рік — стартовий)</w:t>
            </w:r>
          </w:p>
        </w:tc>
        <w:tc>
          <w:tcPr>
            <w:tcW w:w="1843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Разом за рік (стартовий)</w:t>
            </w:r>
          </w:p>
        </w:tc>
        <w:tc>
          <w:tcPr>
            <w:tcW w:w="1850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Витрати за п’ять років</w:t>
            </w:r>
          </w:p>
        </w:tc>
      </w:tr>
      <w:tr w:rsidR="00FB72A6" w:rsidRPr="0075288A" w:rsidTr="005D0F52">
        <w:tc>
          <w:tcPr>
            <w:tcW w:w="3085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75288A">
              <w:rPr>
                <w:sz w:val="16"/>
                <w:szCs w:val="16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418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Запропонований регуляторний акт не передбачає додаткових витрат</w:t>
            </w:r>
          </w:p>
        </w:tc>
        <w:tc>
          <w:tcPr>
            <w:tcW w:w="1984" w:type="dxa"/>
          </w:tcPr>
          <w:p w:rsidR="00FB72A6" w:rsidRPr="0075288A" w:rsidRDefault="00FB72A6" w:rsidP="005D0F5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Запропонований регуляторний акт не передбачає додаткових витрат</w:t>
            </w:r>
          </w:p>
        </w:tc>
        <w:tc>
          <w:tcPr>
            <w:tcW w:w="1843" w:type="dxa"/>
          </w:tcPr>
          <w:p w:rsidR="00FB72A6" w:rsidRPr="0075288A" w:rsidRDefault="00FB72A6" w:rsidP="005D0F5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Запропонований регуляторний акт не передбачає додаткових витрат</w:t>
            </w:r>
          </w:p>
        </w:tc>
        <w:tc>
          <w:tcPr>
            <w:tcW w:w="1850" w:type="dxa"/>
          </w:tcPr>
          <w:p w:rsidR="00FB72A6" w:rsidRPr="0075288A" w:rsidRDefault="00FB72A6" w:rsidP="005D0F52">
            <w:pPr>
              <w:pStyle w:val="a8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Запропонований регуляторний акт не передбачає додаткових витрат</w:t>
            </w:r>
          </w:p>
        </w:tc>
      </w:tr>
    </w:tbl>
    <w:p w:rsidR="00FB72A6" w:rsidRPr="002B3CE5" w:rsidRDefault="00FB72A6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551"/>
        <w:gridCol w:w="1985"/>
        <w:gridCol w:w="2410"/>
      </w:tblGrid>
      <w:tr w:rsidR="00FB72A6" w:rsidRPr="0075288A" w:rsidTr="0075288A">
        <w:tc>
          <w:tcPr>
            <w:tcW w:w="3227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Вид витрат</w:t>
            </w:r>
          </w:p>
        </w:tc>
        <w:tc>
          <w:tcPr>
            <w:tcW w:w="2551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За рік (стартовий)</w:t>
            </w:r>
          </w:p>
        </w:tc>
        <w:tc>
          <w:tcPr>
            <w:tcW w:w="1985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Періодичні</w:t>
            </w:r>
            <w:r w:rsidRPr="0075288A">
              <w:rPr>
                <w:rFonts w:ascii="Times New Roman" w:hAnsi="Times New Roman"/>
                <w:b/>
                <w:sz w:val="16"/>
                <w:szCs w:val="16"/>
              </w:rPr>
              <w:br/>
              <w:t>(за наступний рік)</w:t>
            </w:r>
          </w:p>
        </w:tc>
        <w:tc>
          <w:tcPr>
            <w:tcW w:w="2410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 xml:space="preserve">Витрати за </w:t>
            </w:r>
            <w:r w:rsidRPr="0075288A">
              <w:rPr>
                <w:rFonts w:ascii="Times New Roman" w:hAnsi="Times New Roman"/>
                <w:b/>
                <w:sz w:val="16"/>
                <w:szCs w:val="16"/>
              </w:rPr>
              <w:br/>
              <w:t>п’ять років</w:t>
            </w:r>
          </w:p>
        </w:tc>
      </w:tr>
      <w:tr w:rsidR="00FB72A6" w:rsidRPr="0075288A" w:rsidTr="0075288A">
        <w:tc>
          <w:tcPr>
            <w:tcW w:w="3227" w:type="dxa"/>
          </w:tcPr>
          <w:p w:rsidR="00FB72A6" w:rsidRPr="0075288A" w:rsidRDefault="00FB72A6" w:rsidP="005D0F52">
            <w:pPr>
              <w:pStyle w:val="aa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75288A">
              <w:rPr>
                <w:rFonts w:ascii="Times New Roman" w:hAnsi="Times New Roman"/>
                <w:sz w:val="16"/>
                <w:szCs w:val="16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2551" w:type="dxa"/>
          </w:tcPr>
          <w:p w:rsidR="00FB72A6" w:rsidRPr="0075288A" w:rsidRDefault="00FB72A6" w:rsidP="005D0F52">
            <w:pPr>
              <w:jc w:val="center"/>
              <w:rPr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Виконання вимог регуляторного акта не передбачатиме додаткових витрат коштів та часу</w:t>
            </w:r>
          </w:p>
        </w:tc>
        <w:tc>
          <w:tcPr>
            <w:tcW w:w="1985" w:type="dxa"/>
          </w:tcPr>
          <w:p w:rsidR="00FB72A6" w:rsidRPr="0075288A" w:rsidRDefault="00FB72A6" w:rsidP="005D0F52">
            <w:pPr>
              <w:jc w:val="center"/>
              <w:rPr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Виконання вимог регуляторного акта не передбачатиме додаткових витрат коштів та часу</w:t>
            </w:r>
          </w:p>
        </w:tc>
        <w:tc>
          <w:tcPr>
            <w:tcW w:w="2410" w:type="dxa"/>
          </w:tcPr>
          <w:p w:rsidR="00FB72A6" w:rsidRPr="0075288A" w:rsidRDefault="00FB72A6" w:rsidP="005D0F52">
            <w:pPr>
              <w:jc w:val="center"/>
              <w:rPr>
                <w:sz w:val="16"/>
                <w:szCs w:val="16"/>
              </w:rPr>
            </w:pPr>
            <w:r w:rsidRPr="0075288A">
              <w:rPr>
                <w:color w:val="000000"/>
                <w:sz w:val="16"/>
                <w:szCs w:val="16"/>
              </w:rPr>
              <w:t>Виконання вимог регуляторного акта не передбачатиме додаткових витрат коштів та часу</w:t>
            </w:r>
          </w:p>
        </w:tc>
      </w:tr>
    </w:tbl>
    <w:p w:rsidR="00FB72A6" w:rsidRPr="002B3CE5" w:rsidRDefault="00FB72A6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center"/>
        <w:rPr>
          <w:b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140"/>
        <w:gridCol w:w="1492"/>
      </w:tblGrid>
      <w:tr w:rsidR="00FB72A6" w:rsidRPr="0075288A" w:rsidTr="005D0F52">
        <w:tc>
          <w:tcPr>
            <w:tcW w:w="4248" w:type="dxa"/>
            <w:vAlign w:val="center"/>
          </w:tcPr>
          <w:p w:rsidR="00FB72A6" w:rsidRPr="0075288A" w:rsidRDefault="00FB72A6" w:rsidP="005D0F52">
            <w:pPr>
              <w:pStyle w:val="aa"/>
              <w:ind w:hanging="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Вид витрат</w:t>
            </w:r>
          </w:p>
        </w:tc>
        <w:tc>
          <w:tcPr>
            <w:tcW w:w="4140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>Витрати на оплату праці додатково найманого персоналу (за рік)</w:t>
            </w:r>
          </w:p>
        </w:tc>
        <w:tc>
          <w:tcPr>
            <w:tcW w:w="1492" w:type="dxa"/>
            <w:vAlign w:val="center"/>
          </w:tcPr>
          <w:p w:rsidR="00FB72A6" w:rsidRPr="0075288A" w:rsidRDefault="00FB72A6" w:rsidP="005D0F52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288A">
              <w:rPr>
                <w:rFonts w:ascii="Times New Roman" w:hAnsi="Times New Roman"/>
                <w:b/>
                <w:sz w:val="16"/>
                <w:szCs w:val="16"/>
              </w:rPr>
              <w:t xml:space="preserve">Витрати за </w:t>
            </w:r>
            <w:r w:rsidRPr="0075288A">
              <w:rPr>
                <w:rFonts w:ascii="Times New Roman" w:hAnsi="Times New Roman"/>
                <w:b/>
                <w:sz w:val="16"/>
                <w:szCs w:val="16"/>
              </w:rPr>
              <w:br/>
              <w:t>п’ять років</w:t>
            </w:r>
          </w:p>
        </w:tc>
      </w:tr>
      <w:tr w:rsidR="00FB72A6" w:rsidRPr="0075288A" w:rsidTr="005D0F52">
        <w:tc>
          <w:tcPr>
            <w:tcW w:w="4248" w:type="dxa"/>
          </w:tcPr>
          <w:p w:rsidR="00FB72A6" w:rsidRPr="0075288A" w:rsidRDefault="00FB72A6" w:rsidP="005D0F52">
            <w:pPr>
              <w:pStyle w:val="aa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75288A">
              <w:rPr>
                <w:rFonts w:ascii="Times New Roman" w:hAnsi="Times New Roman"/>
                <w:sz w:val="16"/>
                <w:szCs w:val="16"/>
              </w:rPr>
              <w:t>Витрати, пов’язані із наймом додаткового персоналу</w:t>
            </w:r>
          </w:p>
        </w:tc>
        <w:tc>
          <w:tcPr>
            <w:tcW w:w="4140" w:type="dxa"/>
          </w:tcPr>
          <w:p w:rsidR="00FB72A6" w:rsidRPr="0075288A" w:rsidRDefault="00FB72A6" w:rsidP="005D0F52">
            <w:pPr>
              <w:pStyle w:val="aa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88A">
              <w:rPr>
                <w:rFonts w:ascii="Times New Roman" w:hAnsi="Times New Roman"/>
                <w:sz w:val="16"/>
                <w:szCs w:val="16"/>
              </w:rPr>
              <w:t>Не потребує найму додаткового персоналу</w:t>
            </w:r>
          </w:p>
        </w:tc>
        <w:tc>
          <w:tcPr>
            <w:tcW w:w="1492" w:type="dxa"/>
          </w:tcPr>
          <w:p w:rsidR="00FB72A6" w:rsidRPr="0075288A" w:rsidRDefault="00FB72A6" w:rsidP="005D0F52">
            <w:pPr>
              <w:pStyle w:val="aa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88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FB72A6" w:rsidRPr="002B3CE5" w:rsidRDefault="00FB72A6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</w:p>
    <w:p w:rsidR="00FB72A6" w:rsidRPr="002B3CE5" w:rsidRDefault="00FB72A6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</w:p>
    <w:p w:rsidR="00FB72A6" w:rsidRPr="002B3CE5" w:rsidRDefault="00FB72A6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</w:p>
    <w:p w:rsidR="00FB72A6" w:rsidRPr="002B3CE5" w:rsidRDefault="00FB72A6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</w:p>
    <w:p w:rsidR="00FB72A6" w:rsidRPr="002B3CE5" w:rsidRDefault="00FB72A6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</w:p>
    <w:p w:rsidR="00FB72A6" w:rsidRPr="002B3CE5" w:rsidRDefault="00FB72A6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</w:p>
    <w:p w:rsidR="00FB72A6" w:rsidRPr="002B3CE5" w:rsidRDefault="002A06D6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2B3CE5">
        <w:rPr>
          <w:b/>
          <w:sz w:val="28"/>
          <w:szCs w:val="28"/>
        </w:rPr>
        <w:tab/>
        <w:t>Секретар ради</w:t>
      </w:r>
      <w:r w:rsidR="00FB72A6" w:rsidRPr="002B3CE5">
        <w:rPr>
          <w:b/>
          <w:sz w:val="28"/>
          <w:szCs w:val="28"/>
        </w:rPr>
        <w:tab/>
      </w:r>
      <w:r w:rsidR="00FB72A6" w:rsidRPr="002B3CE5">
        <w:rPr>
          <w:b/>
          <w:sz w:val="28"/>
          <w:szCs w:val="28"/>
        </w:rPr>
        <w:tab/>
      </w:r>
      <w:r w:rsidR="00FB72A6" w:rsidRPr="002B3CE5">
        <w:rPr>
          <w:b/>
          <w:sz w:val="28"/>
          <w:szCs w:val="28"/>
        </w:rPr>
        <w:tab/>
      </w:r>
      <w:r w:rsidR="00FB72A6" w:rsidRPr="002B3CE5">
        <w:rPr>
          <w:b/>
          <w:sz w:val="28"/>
          <w:szCs w:val="28"/>
        </w:rPr>
        <w:tab/>
      </w:r>
      <w:r w:rsidR="00FB72A6" w:rsidRPr="002B3CE5">
        <w:rPr>
          <w:b/>
          <w:sz w:val="28"/>
          <w:szCs w:val="28"/>
        </w:rPr>
        <w:tab/>
      </w:r>
      <w:r w:rsidR="00FB72A6" w:rsidRPr="002B3CE5">
        <w:rPr>
          <w:b/>
          <w:sz w:val="28"/>
          <w:szCs w:val="28"/>
        </w:rPr>
        <w:tab/>
      </w:r>
      <w:r w:rsidRPr="002B3CE5">
        <w:rPr>
          <w:b/>
          <w:sz w:val="28"/>
          <w:szCs w:val="28"/>
        </w:rPr>
        <w:t>І.</w:t>
      </w:r>
      <w:r w:rsidR="00EC305E" w:rsidRPr="002B3CE5">
        <w:rPr>
          <w:b/>
          <w:sz w:val="28"/>
          <w:szCs w:val="28"/>
        </w:rPr>
        <w:t xml:space="preserve"> </w:t>
      </w:r>
      <w:r w:rsidRPr="002B3CE5">
        <w:rPr>
          <w:b/>
          <w:sz w:val="28"/>
          <w:szCs w:val="28"/>
        </w:rPr>
        <w:t xml:space="preserve">В. </w:t>
      </w:r>
      <w:proofErr w:type="spellStart"/>
      <w:r w:rsidRPr="002B3CE5">
        <w:rPr>
          <w:b/>
          <w:sz w:val="28"/>
          <w:szCs w:val="28"/>
        </w:rPr>
        <w:t>Пуляєва</w:t>
      </w:r>
      <w:proofErr w:type="spellEnd"/>
    </w:p>
    <w:p w:rsidR="00FB72A6" w:rsidRPr="002B3CE5" w:rsidRDefault="00FB72A6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</w:p>
    <w:p w:rsidR="00FB72A6" w:rsidRPr="002B3CE5" w:rsidRDefault="00FB72A6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b/>
        </w:rPr>
      </w:pPr>
    </w:p>
    <w:p w:rsidR="0075288A" w:rsidRDefault="0075288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B72A6" w:rsidRPr="002B3CE5" w:rsidRDefault="00FB72A6" w:rsidP="00FB72A6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  <w:rPr>
          <w:color w:val="000000"/>
        </w:rPr>
      </w:pPr>
      <w:r w:rsidRPr="002B3CE5">
        <w:rPr>
          <w:color w:val="000000"/>
        </w:rPr>
        <w:lastRenderedPageBreak/>
        <w:t>Додаток 3</w:t>
      </w:r>
    </w:p>
    <w:p w:rsidR="00FB72A6" w:rsidRPr="002B3CE5" w:rsidRDefault="00FB72A6" w:rsidP="00FB72A6">
      <w:pPr>
        <w:widowControl w:val="0"/>
        <w:autoSpaceDE w:val="0"/>
        <w:autoSpaceDN w:val="0"/>
        <w:adjustRightInd w:val="0"/>
        <w:spacing w:line="240" w:lineRule="atLeast"/>
        <w:ind w:left="5245"/>
        <w:jc w:val="both"/>
      </w:pPr>
      <w:r w:rsidRPr="002B3CE5">
        <w:rPr>
          <w:color w:val="000000"/>
        </w:rPr>
        <w:t>до Методики проведення аналізу впливу регуляторного акта</w:t>
      </w:r>
    </w:p>
    <w:p w:rsidR="00FB72A6" w:rsidRPr="002B3CE5" w:rsidRDefault="00FB72A6" w:rsidP="00FB72A6">
      <w:pPr>
        <w:pStyle w:val="ab"/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FB72A6" w:rsidRPr="002B3CE5" w:rsidRDefault="00FB72A6" w:rsidP="00FB72A6">
      <w:pPr>
        <w:pStyle w:val="aa"/>
        <w:rPr>
          <w:sz w:val="24"/>
          <w:szCs w:val="24"/>
        </w:rPr>
      </w:pPr>
    </w:p>
    <w:p w:rsidR="00FB72A6" w:rsidRPr="002B3CE5" w:rsidRDefault="00FB72A6" w:rsidP="00FB72A6">
      <w:pPr>
        <w:pStyle w:val="ab"/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B3CE5">
        <w:rPr>
          <w:rFonts w:ascii="Times New Roman" w:hAnsi="Times New Roman"/>
          <w:color w:val="000000"/>
          <w:sz w:val="24"/>
          <w:szCs w:val="24"/>
        </w:rPr>
        <w:t xml:space="preserve">БЮДЖЕТНІ ВИТРАТИ </w:t>
      </w:r>
    </w:p>
    <w:p w:rsidR="00FB72A6" w:rsidRPr="002B3CE5" w:rsidRDefault="00FB72A6" w:rsidP="00FB72A6">
      <w:pPr>
        <w:pStyle w:val="ab"/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B3CE5">
        <w:rPr>
          <w:rFonts w:ascii="Times New Roman" w:hAnsi="Times New Roman"/>
          <w:color w:val="000000"/>
          <w:sz w:val="24"/>
          <w:szCs w:val="24"/>
        </w:rPr>
        <w:t xml:space="preserve">на адміністрування регулювання для суб’єктів </w:t>
      </w:r>
    </w:p>
    <w:p w:rsidR="00FB72A6" w:rsidRPr="002B3CE5" w:rsidRDefault="00FB72A6" w:rsidP="00FB72A6">
      <w:pPr>
        <w:pStyle w:val="ab"/>
        <w:spacing w:before="0"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B3CE5">
        <w:rPr>
          <w:rFonts w:ascii="Times New Roman" w:hAnsi="Times New Roman"/>
          <w:color w:val="000000"/>
          <w:sz w:val="24"/>
          <w:szCs w:val="24"/>
        </w:rPr>
        <w:t>великого і середнього підприємництва</w:t>
      </w:r>
    </w:p>
    <w:p w:rsidR="00FB72A6" w:rsidRPr="002B3CE5" w:rsidRDefault="00FB72A6" w:rsidP="00FB72A6">
      <w:pPr>
        <w:pStyle w:val="a8"/>
        <w:spacing w:before="0" w:beforeAutospacing="0" w:after="0" w:afterAutospacing="0" w:line="240" w:lineRule="atLeast"/>
        <w:jc w:val="both"/>
      </w:pPr>
    </w:p>
    <w:p w:rsidR="00FB72A6" w:rsidRPr="002B3CE5" w:rsidRDefault="00FB72A6" w:rsidP="00FB72A6">
      <w:pPr>
        <w:spacing w:line="240" w:lineRule="atLeast"/>
        <w:ind w:firstLine="709"/>
        <w:jc w:val="both"/>
      </w:pPr>
      <w:r w:rsidRPr="002B3CE5">
        <w:t xml:space="preserve">Слід зазначити, що для впровадження вимог цього регуляторного акта не передбачає бюджетні витрати Щасливцевської сільської ради. </w:t>
      </w:r>
    </w:p>
    <w:p w:rsidR="00FB72A6" w:rsidRPr="002B3CE5" w:rsidRDefault="00FB72A6" w:rsidP="00FB72A6">
      <w:pPr>
        <w:pStyle w:val="a8"/>
        <w:spacing w:before="0" w:beforeAutospacing="0" w:after="0" w:afterAutospacing="0" w:line="240" w:lineRule="atLeast"/>
        <w:ind w:firstLine="709"/>
        <w:jc w:val="both"/>
      </w:pPr>
      <w:r w:rsidRPr="002B3CE5">
        <w:t>Введення в дію регуляторного акта вже не потребує збільшення штату державних службовців, а лише упорядковує вже існуючу діяльність із зазначеного питання.</w:t>
      </w:r>
    </w:p>
    <w:p w:rsidR="00FB72A6" w:rsidRPr="002B3CE5" w:rsidRDefault="00FB72A6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rPr>
          <w:b/>
        </w:rPr>
      </w:pPr>
    </w:p>
    <w:p w:rsidR="00FB72A6" w:rsidRPr="002B3CE5" w:rsidRDefault="00FB72A6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rPr>
          <w:b/>
        </w:rPr>
      </w:pPr>
    </w:p>
    <w:p w:rsidR="00FB72A6" w:rsidRDefault="00FB72A6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rPr>
          <w:b/>
        </w:rPr>
      </w:pPr>
    </w:p>
    <w:p w:rsidR="0075288A" w:rsidRDefault="0075288A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rPr>
          <w:b/>
        </w:rPr>
      </w:pPr>
    </w:p>
    <w:p w:rsidR="0075288A" w:rsidRPr="002B3CE5" w:rsidRDefault="0075288A" w:rsidP="00FB72A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rPr>
          <w:b/>
        </w:rPr>
      </w:pPr>
    </w:p>
    <w:p w:rsidR="001C27EB" w:rsidRPr="002B3CE5" w:rsidRDefault="002A06D6" w:rsidP="0075288A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B3CE5">
        <w:rPr>
          <w:b/>
        </w:rPr>
        <w:tab/>
      </w:r>
      <w:r w:rsidRPr="002B3CE5">
        <w:rPr>
          <w:b/>
          <w:sz w:val="28"/>
          <w:szCs w:val="28"/>
        </w:rPr>
        <w:t>Секретар ради</w:t>
      </w:r>
      <w:r w:rsidR="00FB72A6" w:rsidRPr="002B3CE5">
        <w:rPr>
          <w:b/>
          <w:sz w:val="28"/>
          <w:szCs w:val="28"/>
        </w:rPr>
        <w:tab/>
      </w:r>
      <w:r w:rsidR="00FB72A6" w:rsidRPr="002B3CE5">
        <w:rPr>
          <w:b/>
          <w:sz w:val="28"/>
          <w:szCs w:val="28"/>
        </w:rPr>
        <w:tab/>
      </w:r>
      <w:r w:rsidR="00FB72A6" w:rsidRPr="002B3CE5">
        <w:rPr>
          <w:b/>
          <w:sz w:val="28"/>
          <w:szCs w:val="28"/>
        </w:rPr>
        <w:tab/>
      </w:r>
      <w:r w:rsidR="00FB72A6" w:rsidRPr="002B3CE5">
        <w:rPr>
          <w:b/>
          <w:sz w:val="28"/>
          <w:szCs w:val="28"/>
        </w:rPr>
        <w:tab/>
      </w:r>
      <w:r w:rsidR="00FB72A6" w:rsidRPr="002B3CE5">
        <w:rPr>
          <w:b/>
          <w:sz w:val="28"/>
          <w:szCs w:val="28"/>
        </w:rPr>
        <w:tab/>
      </w:r>
      <w:r w:rsidRPr="002B3CE5">
        <w:rPr>
          <w:b/>
          <w:sz w:val="28"/>
          <w:szCs w:val="28"/>
        </w:rPr>
        <w:tab/>
        <w:t>І.</w:t>
      </w:r>
      <w:r w:rsidR="00EC305E" w:rsidRPr="002B3CE5">
        <w:rPr>
          <w:b/>
          <w:sz w:val="28"/>
          <w:szCs w:val="28"/>
        </w:rPr>
        <w:t xml:space="preserve"> </w:t>
      </w:r>
      <w:r w:rsidRPr="002B3CE5">
        <w:rPr>
          <w:b/>
          <w:sz w:val="28"/>
          <w:szCs w:val="28"/>
        </w:rPr>
        <w:t xml:space="preserve">В. </w:t>
      </w:r>
      <w:proofErr w:type="spellStart"/>
      <w:r w:rsidRPr="002B3CE5">
        <w:rPr>
          <w:b/>
          <w:sz w:val="28"/>
          <w:szCs w:val="28"/>
        </w:rPr>
        <w:t>Пуляєва</w:t>
      </w:r>
      <w:proofErr w:type="spellEnd"/>
    </w:p>
    <w:sectPr w:rsidR="001C27EB" w:rsidRPr="002B3CE5" w:rsidSect="001E6569">
      <w:headerReference w:type="even" r:id="rId8"/>
      <w:headerReference w:type="default" r:id="rId9"/>
      <w:pgSz w:w="12240" w:h="15840"/>
      <w:pgMar w:top="993" w:right="567" w:bottom="993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DC" w:rsidRDefault="008F78DC" w:rsidP="00BE0B51">
      <w:r>
        <w:separator/>
      </w:r>
    </w:p>
  </w:endnote>
  <w:endnote w:type="continuationSeparator" w:id="0">
    <w:p w:rsidR="008F78DC" w:rsidRDefault="008F78DC" w:rsidP="00BE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DC" w:rsidRDefault="008F78DC" w:rsidP="00BE0B51">
      <w:r>
        <w:separator/>
      </w:r>
    </w:p>
  </w:footnote>
  <w:footnote w:type="continuationSeparator" w:id="0">
    <w:p w:rsidR="008F78DC" w:rsidRDefault="008F78DC" w:rsidP="00BE0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FA" w:rsidRDefault="007D17DB" w:rsidP="00CB2C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2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59FA" w:rsidRDefault="001E1E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FA" w:rsidRDefault="007D17DB" w:rsidP="00CB2C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2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1E34">
      <w:rPr>
        <w:rStyle w:val="a7"/>
        <w:noProof/>
      </w:rPr>
      <w:t>1</w:t>
    </w:r>
    <w:r>
      <w:rPr>
        <w:rStyle w:val="a7"/>
      </w:rPr>
      <w:fldChar w:fldCharType="end"/>
    </w:r>
  </w:p>
  <w:p w:rsidR="00CC59FA" w:rsidRDefault="001E1E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74CA"/>
    <w:multiLevelType w:val="multilevel"/>
    <w:tmpl w:val="5496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26039"/>
    <w:multiLevelType w:val="hybridMultilevel"/>
    <w:tmpl w:val="8C6A5EDC"/>
    <w:lvl w:ilvl="0" w:tplc="1E4E1A2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0C6C40"/>
    <w:multiLevelType w:val="hybridMultilevel"/>
    <w:tmpl w:val="1F2634F0"/>
    <w:lvl w:ilvl="0" w:tplc="3E2EC416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8B5F9E"/>
    <w:multiLevelType w:val="hybridMultilevel"/>
    <w:tmpl w:val="00B6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EB"/>
    <w:rsid w:val="00060A66"/>
    <w:rsid w:val="00062DA0"/>
    <w:rsid w:val="000A7086"/>
    <w:rsid w:val="00112C01"/>
    <w:rsid w:val="0014679B"/>
    <w:rsid w:val="001A2CF2"/>
    <w:rsid w:val="001C27EB"/>
    <w:rsid w:val="001C7D3A"/>
    <w:rsid w:val="001E1E34"/>
    <w:rsid w:val="001E6569"/>
    <w:rsid w:val="001F15DA"/>
    <w:rsid w:val="002128B7"/>
    <w:rsid w:val="002A06D6"/>
    <w:rsid w:val="002B3CE5"/>
    <w:rsid w:val="00303807"/>
    <w:rsid w:val="00361395"/>
    <w:rsid w:val="00384806"/>
    <w:rsid w:val="003A6455"/>
    <w:rsid w:val="003D3355"/>
    <w:rsid w:val="003D3FAC"/>
    <w:rsid w:val="003E3832"/>
    <w:rsid w:val="00413572"/>
    <w:rsid w:val="0046148D"/>
    <w:rsid w:val="004B6C6F"/>
    <w:rsid w:val="004B6E93"/>
    <w:rsid w:val="00514CF2"/>
    <w:rsid w:val="005D1DB8"/>
    <w:rsid w:val="00611E75"/>
    <w:rsid w:val="006123BD"/>
    <w:rsid w:val="006230AB"/>
    <w:rsid w:val="00647A93"/>
    <w:rsid w:val="00650C85"/>
    <w:rsid w:val="00654061"/>
    <w:rsid w:val="006558E0"/>
    <w:rsid w:val="00715BC6"/>
    <w:rsid w:val="0075288A"/>
    <w:rsid w:val="0078000F"/>
    <w:rsid w:val="007C121B"/>
    <w:rsid w:val="007D0725"/>
    <w:rsid w:val="007D17DB"/>
    <w:rsid w:val="007E78B7"/>
    <w:rsid w:val="007F4F16"/>
    <w:rsid w:val="008159FD"/>
    <w:rsid w:val="00825153"/>
    <w:rsid w:val="00832C2F"/>
    <w:rsid w:val="008F78DC"/>
    <w:rsid w:val="00911EF3"/>
    <w:rsid w:val="009D409B"/>
    <w:rsid w:val="00A66238"/>
    <w:rsid w:val="00A71565"/>
    <w:rsid w:val="00AA017E"/>
    <w:rsid w:val="00AC4659"/>
    <w:rsid w:val="00AE4FE5"/>
    <w:rsid w:val="00AE66F3"/>
    <w:rsid w:val="00B039F5"/>
    <w:rsid w:val="00B14D00"/>
    <w:rsid w:val="00B21B7F"/>
    <w:rsid w:val="00B9278F"/>
    <w:rsid w:val="00BE0B51"/>
    <w:rsid w:val="00BE5B39"/>
    <w:rsid w:val="00C04878"/>
    <w:rsid w:val="00C14F05"/>
    <w:rsid w:val="00C25D25"/>
    <w:rsid w:val="00C52688"/>
    <w:rsid w:val="00C82418"/>
    <w:rsid w:val="00CF39F1"/>
    <w:rsid w:val="00D23817"/>
    <w:rsid w:val="00D47AE1"/>
    <w:rsid w:val="00DA09B7"/>
    <w:rsid w:val="00DD186F"/>
    <w:rsid w:val="00E54CDD"/>
    <w:rsid w:val="00E75971"/>
    <w:rsid w:val="00E8479B"/>
    <w:rsid w:val="00EB1574"/>
    <w:rsid w:val="00EB1FA0"/>
    <w:rsid w:val="00EC305E"/>
    <w:rsid w:val="00F0748B"/>
    <w:rsid w:val="00F43E3E"/>
    <w:rsid w:val="00F5538A"/>
    <w:rsid w:val="00F83869"/>
    <w:rsid w:val="00FB1EBA"/>
    <w:rsid w:val="00F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Верхний колонтитул Знак Знак Знак Знак Знак Знак Знак,Верхний колонтитул Знак Знак Знак Знак Знак Знак Знак Знак Знак Знак Знак Знак Знак Знак"/>
    <w:basedOn w:val="a"/>
    <w:link w:val="1"/>
    <w:rsid w:val="00FB72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FB72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Верхний колонтитул Знак1"/>
    <w:aliases w:val=" Знак Знак,Верхний колонтитул Знак Знак Знак Знак Знак Знак Знак Знак,Верхний колонтитул Знак Знак Знак Знак Знак Знак Знак Знак Знак Знак Знак Знак Знак Знак Знак"/>
    <w:link w:val="a3"/>
    <w:rsid w:val="00FB72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FB72A6"/>
    <w:pPr>
      <w:tabs>
        <w:tab w:val="left" w:pos="10260"/>
      </w:tabs>
      <w:ind w:right="2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B72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page number"/>
    <w:basedOn w:val="a0"/>
    <w:rsid w:val="00FB72A6"/>
  </w:style>
  <w:style w:type="paragraph" w:styleId="a8">
    <w:name w:val="Normal (Web)"/>
    <w:basedOn w:val="a"/>
    <w:uiPriority w:val="99"/>
    <w:unhideWhenUsed/>
    <w:rsid w:val="00FB72A6"/>
    <w:pPr>
      <w:spacing w:before="100" w:beforeAutospacing="1" w:after="100" w:afterAutospacing="1"/>
    </w:pPr>
  </w:style>
  <w:style w:type="character" w:styleId="a9">
    <w:name w:val="Strong"/>
    <w:basedOn w:val="a0"/>
    <w:qFormat/>
    <w:rsid w:val="00FB72A6"/>
    <w:rPr>
      <w:b/>
      <w:bCs/>
    </w:rPr>
  </w:style>
  <w:style w:type="paragraph" w:customStyle="1" w:styleId="rvps12">
    <w:name w:val="rvps12"/>
    <w:basedOn w:val="a"/>
    <w:rsid w:val="00FB72A6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FB72A6"/>
    <w:pPr>
      <w:spacing w:before="100" w:beforeAutospacing="1" w:after="100" w:afterAutospacing="1"/>
    </w:pPr>
    <w:rPr>
      <w:lang w:val="ru-RU"/>
    </w:rPr>
  </w:style>
  <w:style w:type="paragraph" w:customStyle="1" w:styleId="aa">
    <w:name w:val="Нормальний текст"/>
    <w:basedOn w:val="a"/>
    <w:rsid w:val="00FB72A6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b">
    <w:name w:val="Назва документа"/>
    <w:basedOn w:val="a"/>
    <w:next w:val="aa"/>
    <w:rsid w:val="00FB72A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c">
    <w:name w:val="List Paragraph"/>
    <w:basedOn w:val="a"/>
    <w:uiPriority w:val="34"/>
    <w:qFormat/>
    <w:rsid w:val="00650C85"/>
    <w:pPr>
      <w:ind w:left="720"/>
      <w:contextualSpacing/>
    </w:pPr>
  </w:style>
  <w:style w:type="paragraph" w:customStyle="1" w:styleId="xfmc9">
    <w:name w:val="xfmc9"/>
    <w:basedOn w:val="a"/>
    <w:rsid w:val="00D23817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Верхний колонтитул Знак Знак Знак Знак Знак Знак Знак,Верхний колонтитул Знак Знак Знак Знак Знак Знак Знак Знак Знак Знак Знак Знак Знак Знак"/>
    <w:basedOn w:val="a"/>
    <w:link w:val="1"/>
    <w:rsid w:val="00FB72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FB72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Верхний колонтитул Знак1"/>
    <w:aliases w:val=" Знак Знак,Верхний колонтитул Знак Знак Знак Знак Знак Знак Знак Знак,Верхний колонтитул Знак Знак Знак Знак Знак Знак Знак Знак Знак Знак Знак Знак Знак Знак Знак"/>
    <w:link w:val="a3"/>
    <w:rsid w:val="00FB72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FB72A6"/>
    <w:pPr>
      <w:tabs>
        <w:tab w:val="left" w:pos="10260"/>
      </w:tabs>
      <w:ind w:right="2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B72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page number"/>
    <w:basedOn w:val="a0"/>
    <w:rsid w:val="00FB72A6"/>
  </w:style>
  <w:style w:type="paragraph" w:styleId="a8">
    <w:name w:val="Normal (Web)"/>
    <w:basedOn w:val="a"/>
    <w:uiPriority w:val="99"/>
    <w:unhideWhenUsed/>
    <w:rsid w:val="00FB72A6"/>
    <w:pPr>
      <w:spacing w:before="100" w:beforeAutospacing="1" w:after="100" w:afterAutospacing="1"/>
    </w:pPr>
  </w:style>
  <w:style w:type="character" w:styleId="a9">
    <w:name w:val="Strong"/>
    <w:basedOn w:val="a0"/>
    <w:qFormat/>
    <w:rsid w:val="00FB72A6"/>
    <w:rPr>
      <w:b/>
      <w:bCs/>
    </w:rPr>
  </w:style>
  <w:style w:type="paragraph" w:customStyle="1" w:styleId="rvps12">
    <w:name w:val="rvps12"/>
    <w:basedOn w:val="a"/>
    <w:rsid w:val="00FB72A6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FB72A6"/>
    <w:pPr>
      <w:spacing w:before="100" w:beforeAutospacing="1" w:after="100" w:afterAutospacing="1"/>
    </w:pPr>
    <w:rPr>
      <w:lang w:val="ru-RU"/>
    </w:rPr>
  </w:style>
  <w:style w:type="paragraph" w:customStyle="1" w:styleId="aa">
    <w:name w:val="Нормальний текст"/>
    <w:basedOn w:val="a"/>
    <w:rsid w:val="00FB72A6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b">
    <w:name w:val="Назва документа"/>
    <w:basedOn w:val="a"/>
    <w:next w:val="aa"/>
    <w:rsid w:val="00FB72A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c">
    <w:name w:val="List Paragraph"/>
    <w:basedOn w:val="a"/>
    <w:uiPriority w:val="34"/>
    <w:qFormat/>
    <w:rsid w:val="00650C85"/>
    <w:pPr>
      <w:ind w:left="720"/>
      <w:contextualSpacing/>
    </w:pPr>
  </w:style>
  <w:style w:type="paragraph" w:customStyle="1" w:styleId="xfmc9">
    <w:name w:val="xfmc9"/>
    <w:basedOn w:val="a"/>
    <w:rsid w:val="00D23817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10933</Words>
  <Characters>6232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Користувач Windows</cp:lastModifiedBy>
  <cp:revision>2</cp:revision>
  <cp:lastPrinted>2018-02-09T13:08:00Z</cp:lastPrinted>
  <dcterms:created xsi:type="dcterms:W3CDTF">2020-01-02T13:09:00Z</dcterms:created>
  <dcterms:modified xsi:type="dcterms:W3CDTF">2020-01-02T13:09:00Z</dcterms:modified>
</cp:coreProperties>
</file>