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9" w:rsidRPr="00962F8C" w:rsidRDefault="00D917A9" w:rsidP="00D917A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962F8C">
        <w:rPr>
          <w:rFonts w:ascii="Times New Roman" w:hAnsi="Times New Roman"/>
          <w:sz w:val="24"/>
          <w:szCs w:val="24"/>
        </w:rPr>
        <w:t>Додаток</w:t>
      </w:r>
    </w:p>
    <w:p w:rsidR="00D917A9" w:rsidRPr="00962F8C" w:rsidRDefault="00D917A9" w:rsidP="00D917A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962F8C">
        <w:rPr>
          <w:rFonts w:ascii="Times New Roman" w:hAnsi="Times New Roman"/>
          <w:sz w:val="24"/>
          <w:szCs w:val="24"/>
        </w:rPr>
        <w:t xml:space="preserve">до рішення </w:t>
      </w:r>
      <w:proofErr w:type="spellStart"/>
      <w:r w:rsidRPr="00962F8C">
        <w:rPr>
          <w:rFonts w:ascii="Times New Roman" w:hAnsi="Times New Roman"/>
          <w:sz w:val="24"/>
          <w:szCs w:val="24"/>
        </w:rPr>
        <w:t>Щасливцевської</w:t>
      </w:r>
      <w:proofErr w:type="spellEnd"/>
    </w:p>
    <w:p w:rsidR="00D917A9" w:rsidRPr="00962F8C" w:rsidRDefault="00D917A9" w:rsidP="00D917A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962F8C">
        <w:rPr>
          <w:rFonts w:ascii="Times New Roman" w:hAnsi="Times New Roman"/>
          <w:sz w:val="24"/>
          <w:szCs w:val="24"/>
        </w:rPr>
        <w:t>сільської ради</w:t>
      </w:r>
    </w:p>
    <w:p w:rsidR="00D917A9" w:rsidRPr="001C582B" w:rsidRDefault="00D917A9" w:rsidP="00D917A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962F8C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  <w:lang w:val="ru-RU"/>
        </w:rPr>
        <w:t xml:space="preserve">30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липня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2F8C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  <w:lang w:val="ru-RU"/>
        </w:rPr>
        <w:t>р.</w:t>
      </w:r>
      <w:r w:rsidRPr="00962F8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>1745</w:t>
      </w:r>
    </w:p>
    <w:p w:rsidR="00D917A9" w:rsidRPr="006961F5" w:rsidRDefault="00D917A9" w:rsidP="00D917A9">
      <w:pPr>
        <w:pStyle w:val="a7"/>
        <w:jc w:val="right"/>
        <w:rPr>
          <w:b/>
          <w:sz w:val="28"/>
          <w:szCs w:val="28"/>
          <w:lang w:val="uk-UA"/>
        </w:rPr>
      </w:pPr>
    </w:p>
    <w:p w:rsidR="00D917A9" w:rsidRPr="0026026A" w:rsidRDefault="00D917A9" w:rsidP="00D917A9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026A">
        <w:rPr>
          <w:rFonts w:ascii="Times New Roman" w:hAnsi="Times New Roman"/>
          <w:b/>
          <w:bCs/>
          <w:color w:val="000000"/>
          <w:sz w:val="28"/>
          <w:szCs w:val="28"/>
        </w:rPr>
        <w:t>Програма</w:t>
      </w:r>
    </w:p>
    <w:p w:rsidR="00D917A9" w:rsidRPr="0026026A" w:rsidRDefault="00D917A9" w:rsidP="00D91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6026A">
        <w:rPr>
          <w:rFonts w:ascii="Times New Roman" w:hAnsi="Times New Roman"/>
          <w:b/>
          <w:sz w:val="28"/>
          <w:szCs w:val="28"/>
        </w:rPr>
        <w:t xml:space="preserve">забезпечення виконання </w:t>
      </w:r>
      <w:r w:rsidRPr="00B067FE">
        <w:rPr>
          <w:rFonts w:ascii="Times New Roman" w:hAnsi="Times New Roman"/>
          <w:b/>
          <w:sz w:val="28"/>
          <w:szCs w:val="28"/>
        </w:rPr>
        <w:t xml:space="preserve">рішень </w:t>
      </w:r>
      <w:r w:rsidRPr="00C929FF">
        <w:rPr>
          <w:rFonts w:ascii="Times New Roman" w:hAnsi="Times New Roman"/>
          <w:b/>
          <w:sz w:val="28"/>
          <w:szCs w:val="28"/>
        </w:rPr>
        <w:t>про стягнення коштів сільського бюджету на 201</w:t>
      </w:r>
      <w:r w:rsidRPr="00C929FF">
        <w:rPr>
          <w:rFonts w:ascii="Times New Roman" w:hAnsi="Times New Roman"/>
          <w:b/>
          <w:sz w:val="28"/>
          <w:szCs w:val="28"/>
          <w:lang w:val="ru-RU"/>
        </w:rPr>
        <w:t>9</w:t>
      </w:r>
      <w:r w:rsidRPr="00C929FF">
        <w:rPr>
          <w:rFonts w:ascii="Times New Roman" w:hAnsi="Times New Roman"/>
          <w:b/>
          <w:sz w:val="28"/>
          <w:szCs w:val="28"/>
        </w:rPr>
        <w:t>-202</w:t>
      </w:r>
      <w:r w:rsidRPr="00C929FF">
        <w:rPr>
          <w:rFonts w:ascii="Times New Roman" w:hAnsi="Times New Roman"/>
          <w:b/>
          <w:sz w:val="28"/>
          <w:szCs w:val="28"/>
          <w:lang w:val="ru-RU"/>
        </w:rPr>
        <w:t>3</w:t>
      </w:r>
      <w:r w:rsidRPr="00251BC3">
        <w:rPr>
          <w:rFonts w:ascii="Times New Roman" w:hAnsi="Times New Roman"/>
          <w:sz w:val="28"/>
          <w:szCs w:val="28"/>
        </w:rPr>
        <w:t xml:space="preserve"> </w:t>
      </w:r>
      <w:r w:rsidRPr="00B067FE">
        <w:rPr>
          <w:rFonts w:ascii="Times New Roman" w:hAnsi="Times New Roman"/>
          <w:b/>
          <w:sz w:val="28"/>
          <w:szCs w:val="28"/>
        </w:rPr>
        <w:t xml:space="preserve">роки </w:t>
      </w:r>
    </w:p>
    <w:p w:rsidR="00D917A9" w:rsidRPr="0026026A" w:rsidRDefault="00D917A9" w:rsidP="00D917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17A9" w:rsidRPr="00275048" w:rsidRDefault="00D917A9" w:rsidP="00D917A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048">
        <w:rPr>
          <w:rFonts w:ascii="Times New Roman" w:hAnsi="Times New Roman"/>
          <w:b/>
          <w:sz w:val="28"/>
          <w:szCs w:val="28"/>
          <w:lang w:eastAsia="ru-RU"/>
        </w:rPr>
        <w:t>І. Визначення проблем, на розв’язання яких спрямована Програма</w:t>
      </w:r>
    </w:p>
    <w:p w:rsidR="00D917A9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26A">
        <w:rPr>
          <w:rFonts w:ascii="Times New Roman" w:hAnsi="Times New Roman"/>
          <w:sz w:val="28"/>
          <w:szCs w:val="28"/>
          <w:lang w:val="uk-UA"/>
        </w:rPr>
        <w:t>Стаття 129-1 Конституції України встановлює, що судові рішення ухвалюються іменем України та є обов'язковими до виконання.</w:t>
      </w:r>
      <w:r>
        <w:rPr>
          <w:rFonts w:ascii="Times New Roman" w:hAnsi="Times New Roman"/>
          <w:sz w:val="28"/>
          <w:szCs w:val="28"/>
          <w:lang w:val="uk-UA"/>
        </w:rPr>
        <w:t xml:space="preserve"> Одночасно н</w:t>
      </w:r>
      <w:r w:rsidRPr="005737D6">
        <w:rPr>
          <w:rFonts w:ascii="Times New Roman" w:hAnsi="Times New Roman"/>
          <w:sz w:val="28"/>
          <w:szCs w:val="28"/>
          <w:lang w:val="uk-UA"/>
        </w:rPr>
        <w:t>ормами процесуального законодавства передбачено</w:t>
      </w:r>
      <w:r>
        <w:rPr>
          <w:rFonts w:ascii="Times New Roman" w:hAnsi="Times New Roman"/>
          <w:sz w:val="28"/>
          <w:szCs w:val="28"/>
          <w:lang w:val="uk-UA"/>
        </w:rPr>
        <w:t xml:space="preserve"> обов’язковість виконання </w:t>
      </w:r>
      <w:r w:rsidRPr="005737D6">
        <w:rPr>
          <w:rFonts w:ascii="Times New Roman" w:hAnsi="Times New Roman"/>
          <w:sz w:val="28"/>
          <w:szCs w:val="28"/>
          <w:lang w:val="uk-UA"/>
        </w:rPr>
        <w:t>на всій території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D6">
        <w:rPr>
          <w:rFonts w:ascii="Times New Roman" w:hAnsi="Times New Roman"/>
          <w:sz w:val="28"/>
          <w:szCs w:val="28"/>
          <w:lang w:val="uk-UA"/>
        </w:rPr>
        <w:t>орган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5737D6">
        <w:rPr>
          <w:rFonts w:ascii="Times New Roman" w:hAnsi="Times New Roman"/>
          <w:sz w:val="28"/>
          <w:szCs w:val="28"/>
          <w:lang w:val="uk-UA"/>
        </w:rPr>
        <w:t xml:space="preserve"> державної влади і орган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5737D6">
        <w:rPr>
          <w:rFonts w:ascii="Times New Roman" w:hAnsi="Times New Roman"/>
          <w:sz w:val="28"/>
          <w:szCs w:val="28"/>
          <w:lang w:val="uk-UA"/>
        </w:rPr>
        <w:t xml:space="preserve"> місцевого самоврядування, підприємств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5737D6">
        <w:rPr>
          <w:rFonts w:ascii="Times New Roman" w:hAnsi="Times New Roman"/>
          <w:sz w:val="28"/>
          <w:szCs w:val="28"/>
          <w:lang w:val="uk-UA"/>
        </w:rPr>
        <w:t>, установ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5737D6">
        <w:rPr>
          <w:rFonts w:ascii="Times New Roman" w:hAnsi="Times New Roman"/>
          <w:sz w:val="28"/>
          <w:szCs w:val="28"/>
          <w:lang w:val="uk-UA"/>
        </w:rPr>
        <w:t>, організаці</w:t>
      </w:r>
      <w:r>
        <w:rPr>
          <w:rFonts w:ascii="Times New Roman" w:hAnsi="Times New Roman"/>
          <w:sz w:val="28"/>
          <w:szCs w:val="28"/>
          <w:lang w:val="uk-UA"/>
        </w:rPr>
        <w:t>ями</w:t>
      </w:r>
      <w:r w:rsidRPr="005737D6">
        <w:rPr>
          <w:rFonts w:ascii="Times New Roman" w:hAnsi="Times New Roman"/>
          <w:sz w:val="28"/>
          <w:szCs w:val="28"/>
          <w:lang w:val="uk-UA"/>
        </w:rPr>
        <w:t>, посадов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5737D6">
        <w:rPr>
          <w:rFonts w:ascii="Times New Roman" w:hAnsi="Times New Roman"/>
          <w:sz w:val="28"/>
          <w:szCs w:val="28"/>
          <w:lang w:val="uk-UA"/>
        </w:rPr>
        <w:t xml:space="preserve"> чи службови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5737D6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737D6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5737D6">
        <w:rPr>
          <w:rFonts w:ascii="Times New Roman" w:hAnsi="Times New Roman"/>
          <w:sz w:val="28"/>
          <w:szCs w:val="28"/>
          <w:lang w:val="uk-UA"/>
        </w:rPr>
        <w:t xml:space="preserve"> та громадян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5737D6">
        <w:rPr>
          <w:rFonts w:ascii="Times New Roman" w:hAnsi="Times New Roman"/>
          <w:sz w:val="28"/>
          <w:szCs w:val="28"/>
          <w:lang w:val="uk-UA"/>
        </w:rPr>
        <w:t xml:space="preserve"> судов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5737D6">
        <w:rPr>
          <w:rFonts w:ascii="Times New Roman" w:hAnsi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5737D6">
        <w:rPr>
          <w:rFonts w:ascii="Times New Roman" w:hAnsi="Times New Roman"/>
          <w:sz w:val="28"/>
          <w:szCs w:val="28"/>
          <w:lang w:val="uk-UA"/>
        </w:rPr>
        <w:t>, що набрали законної сили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17A9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цьому законодавством України </w:t>
      </w:r>
      <w:r w:rsidRPr="00346088">
        <w:rPr>
          <w:rFonts w:ascii="Times New Roman" w:hAnsi="Times New Roman"/>
          <w:sz w:val="28"/>
          <w:szCs w:val="28"/>
          <w:lang w:val="uk-UA"/>
        </w:rPr>
        <w:t>визнач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346088">
        <w:rPr>
          <w:rFonts w:ascii="Times New Roman" w:hAnsi="Times New Roman"/>
          <w:sz w:val="28"/>
          <w:szCs w:val="28"/>
          <w:lang w:val="uk-UA"/>
        </w:rPr>
        <w:t xml:space="preserve"> механізм виконання рішень про стягнення коштів державного та місцевих бюджетів або боржників (далі - рішення про стягнення коштів), прийнятих судами, а також іншими державними органами (посадовими особами), які відповідно до закону мають право приймати такі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. Зокрема пунктом 25 </w:t>
      </w:r>
      <w:r w:rsidRPr="00FB4856">
        <w:rPr>
          <w:rFonts w:ascii="Times New Roman" w:hAnsi="Times New Roman"/>
          <w:sz w:val="28"/>
          <w:szCs w:val="28"/>
          <w:lang w:val="uk-UA"/>
        </w:rPr>
        <w:t>Порядку виконання рішень про стягнення коштів державного та місцевих бюджетів або боржників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постановою Кабінету Міністрів України від 03.08.2011 № 845, визначено можливість </w:t>
      </w:r>
      <w:r w:rsidRPr="007E5524">
        <w:rPr>
          <w:rFonts w:ascii="Times New Roman" w:hAnsi="Times New Roman"/>
          <w:sz w:val="28"/>
          <w:szCs w:val="28"/>
          <w:lang w:val="uk-UA"/>
        </w:rPr>
        <w:t xml:space="preserve">прийняття </w:t>
      </w:r>
      <w:r>
        <w:rPr>
          <w:rFonts w:ascii="Times New Roman" w:hAnsi="Times New Roman"/>
          <w:sz w:val="28"/>
          <w:szCs w:val="28"/>
          <w:lang w:val="uk-UA"/>
        </w:rPr>
        <w:t>органами місцевого самоврядування</w:t>
      </w:r>
      <w:r w:rsidRPr="00116875">
        <w:rPr>
          <w:rFonts w:ascii="Times New Roman" w:hAnsi="Times New Roman"/>
          <w:sz w:val="28"/>
          <w:szCs w:val="28"/>
          <w:lang w:val="uk-UA"/>
        </w:rPr>
        <w:t xml:space="preserve"> окрем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16875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16875">
        <w:rPr>
          <w:rFonts w:ascii="Times New Roman" w:hAnsi="Times New Roman"/>
          <w:sz w:val="28"/>
          <w:szCs w:val="28"/>
          <w:lang w:val="uk-UA"/>
        </w:rPr>
        <w:t xml:space="preserve"> програм для забезпечення виконання рішень суду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17A9" w:rsidRDefault="00D917A9" w:rsidP="00D9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BC3">
        <w:rPr>
          <w:rFonts w:ascii="Times New Roman" w:hAnsi="Times New Roman"/>
          <w:sz w:val="28"/>
          <w:szCs w:val="28"/>
          <w:lang w:eastAsia="en-US"/>
        </w:rPr>
        <w:t xml:space="preserve">          Враховуючи відсутність бюджетних призначень на виконання рішень суду, виникла необхідність </w:t>
      </w:r>
      <w:r w:rsidRPr="00251BC3">
        <w:rPr>
          <w:rFonts w:ascii="Times New Roman" w:hAnsi="Times New Roman"/>
          <w:sz w:val="28"/>
          <w:szCs w:val="28"/>
        </w:rPr>
        <w:t xml:space="preserve">прийняття </w:t>
      </w:r>
      <w:r w:rsidRPr="00251BC3">
        <w:rPr>
          <w:rFonts w:ascii="Times New Roman" w:hAnsi="Times New Roman"/>
          <w:color w:val="000000"/>
          <w:sz w:val="28"/>
          <w:szCs w:val="28"/>
        </w:rPr>
        <w:t xml:space="preserve">Програми для </w:t>
      </w:r>
      <w:r w:rsidRPr="00251BC3">
        <w:rPr>
          <w:rFonts w:ascii="Times New Roman" w:hAnsi="Times New Roman"/>
          <w:sz w:val="28"/>
          <w:szCs w:val="28"/>
        </w:rPr>
        <w:t xml:space="preserve">забезпечення виконання рішень </w:t>
      </w:r>
      <w:r>
        <w:rPr>
          <w:rFonts w:ascii="Times New Roman" w:hAnsi="Times New Roman"/>
          <w:sz w:val="28"/>
          <w:szCs w:val="28"/>
        </w:rPr>
        <w:t>про стягнення коштів сільського бюджету</w:t>
      </w:r>
      <w:r w:rsidRPr="00251BC3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251BC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251BC3">
        <w:rPr>
          <w:rFonts w:ascii="Times New Roman" w:hAnsi="Times New Roman"/>
          <w:sz w:val="28"/>
          <w:szCs w:val="28"/>
        </w:rPr>
        <w:t xml:space="preserve"> роки.</w:t>
      </w:r>
    </w:p>
    <w:p w:rsidR="00D917A9" w:rsidRPr="00251BC3" w:rsidRDefault="00D917A9" w:rsidP="00D917A9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51BC3">
        <w:rPr>
          <w:rFonts w:ascii="Times New Roman" w:hAnsi="Times New Roman"/>
          <w:sz w:val="28"/>
          <w:szCs w:val="28"/>
          <w:lang w:val="uk-UA"/>
        </w:rPr>
        <w:t xml:space="preserve">Правовою основою Програми є Конституція України, Бюджетний кодекс України, Закони України «Про місцеве самоврядування в Україні», «Про виконавче провадження», </w:t>
      </w:r>
      <w:hyperlink r:id="rId6" w:tgtFrame="_blank" w:tooltip="Про затвердження Порядку виконання рішень про стягнення коштів державного та місцевих бюджетів або боржників; нормативно-правовий акт № 845 від 03.08.2011" w:history="1">
        <w:r w:rsidRPr="00251BC3">
          <w:rPr>
            <w:rFonts w:ascii="Times New Roman" w:hAnsi="Times New Roman"/>
            <w:color w:val="000000"/>
            <w:sz w:val="28"/>
            <w:szCs w:val="28"/>
            <w:lang w:val="uk-UA"/>
          </w:rPr>
          <w:t>постанова Кабінету Міністрів України від 03.08.2011</w:t>
        </w: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>р.</w:t>
        </w:r>
        <w:r w:rsidRPr="00251BC3">
          <w:rPr>
            <w:rFonts w:ascii="Times New Roman" w:hAnsi="Times New Roman"/>
            <w:color w:val="000000"/>
            <w:sz w:val="28"/>
            <w:szCs w:val="28"/>
            <w:lang w:val="uk-UA"/>
          </w:rPr>
          <w:t xml:space="preserve"> року</w:t>
        </w:r>
      </w:hyperlink>
      <w:r w:rsidRPr="00251BC3">
        <w:rPr>
          <w:rFonts w:ascii="Times New Roman" w:hAnsi="Times New Roman"/>
          <w:color w:val="000000"/>
          <w:sz w:val="28"/>
          <w:szCs w:val="28"/>
          <w:lang w:val="uk-UA"/>
        </w:rPr>
        <w:t>№845 «Про затвердження Порядку виконання рішень про стягнення коштів державного та місцевого бюджетів або боржників», зі змінами.</w:t>
      </w:r>
    </w:p>
    <w:p w:rsidR="00D917A9" w:rsidRPr="0026026A" w:rsidRDefault="00D917A9" w:rsidP="00D9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7A9" w:rsidRPr="00BF225E" w:rsidRDefault="00D917A9" w:rsidP="00D917A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ІІ. </w:t>
      </w:r>
      <w:r w:rsidRPr="00BF225E">
        <w:rPr>
          <w:rFonts w:ascii="Times New Roman" w:hAnsi="Times New Roman"/>
          <w:b/>
          <w:color w:val="000000"/>
          <w:sz w:val="28"/>
          <w:szCs w:val="28"/>
        </w:rPr>
        <w:t>Мета і завдання Програми</w:t>
      </w:r>
    </w:p>
    <w:p w:rsidR="00D917A9" w:rsidRPr="00251BC3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BC3">
        <w:rPr>
          <w:rFonts w:ascii="Times New Roman" w:hAnsi="Times New Roman"/>
          <w:sz w:val="28"/>
          <w:szCs w:val="28"/>
          <w:lang w:val="uk-UA"/>
        </w:rPr>
        <w:t>Метою цієї Програми є забезпечення виконання грошових зобов’язань, які виникли на підставі судових рішень про стягнення коштів сільського бюджету, боржниками по яких є виконавчі органи сільської ради, бюджетні установи, заклади, організації та одержувачі бюджетних коштів.</w:t>
      </w:r>
    </w:p>
    <w:p w:rsidR="00D917A9" w:rsidRPr="00251BC3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BC3">
        <w:rPr>
          <w:rFonts w:ascii="Times New Roman" w:hAnsi="Times New Roman"/>
          <w:sz w:val="28"/>
          <w:szCs w:val="28"/>
          <w:lang w:val="uk-UA"/>
        </w:rPr>
        <w:t xml:space="preserve">Завданням Програми є вирішення питання щодо погашення заборгованості за судовими рішеннями про стягнення коштів сільського </w:t>
      </w:r>
      <w:r w:rsidRPr="00251BC3">
        <w:rPr>
          <w:rFonts w:ascii="Times New Roman" w:hAnsi="Times New Roman"/>
          <w:sz w:val="28"/>
          <w:szCs w:val="28"/>
          <w:lang w:val="uk-UA"/>
        </w:rPr>
        <w:lastRenderedPageBreak/>
        <w:t xml:space="preserve">бюджету, боржниками по яких є виконавчі органи сільської ради, бюджетні установи, заклади, організації та одержувачі бюджетних коштів. </w:t>
      </w:r>
    </w:p>
    <w:p w:rsidR="00D917A9" w:rsidRDefault="00D917A9" w:rsidP="00D917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17A9" w:rsidRPr="00BF225E" w:rsidRDefault="00D917A9" w:rsidP="00D917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ІІІ. </w:t>
      </w:r>
      <w:r w:rsidRPr="00BF225E">
        <w:rPr>
          <w:rFonts w:ascii="Times New Roman" w:hAnsi="Times New Roman"/>
          <w:b/>
          <w:sz w:val="28"/>
          <w:szCs w:val="28"/>
          <w:lang w:eastAsia="ru-RU"/>
        </w:rPr>
        <w:t>Строки та етапи виконання Програми</w:t>
      </w:r>
    </w:p>
    <w:p w:rsidR="00D917A9" w:rsidRDefault="00D917A9" w:rsidP="00D91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25E">
        <w:rPr>
          <w:rFonts w:ascii="Times New Roman" w:hAnsi="Times New Roman"/>
          <w:sz w:val="28"/>
          <w:szCs w:val="28"/>
          <w:lang w:eastAsia="ru-RU"/>
        </w:rPr>
        <w:t>Строки виконання Програми –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BF225E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BF225E">
        <w:rPr>
          <w:rFonts w:ascii="Times New Roman" w:hAnsi="Times New Roman"/>
          <w:sz w:val="28"/>
          <w:szCs w:val="28"/>
          <w:lang w:eastAsia="ru-RU"/>
        </w:rPr>
        <w:t xml:space="preserve"> роки. Виконання Програми планується здійснити шляхом реалізації заходів Програми.</w:t>
      </w:r>
    </w:p>
    <w:p w:rsidR="00D917A9" w:rsidRDefault="00D917A9" w:rsidP="00D91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7A9" w:rsidRPr="00251BC3" w:rsidRDefault="00D917A9" w:rsidP="00D917A9">
      <w:pPr>
        <w:pStyle w:val="a9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51BC3">
        <w:rPr>
          <w:rFonts w:ascii="Times New Roman" w:hAnsi="Times New Roman"/>
          <w:b/>
          <w:color w:val="000000"/>
          <w:sz w:val="28"/>
          <w:szCs w:val="28"/>
        </w:rPr>
        <w:t xml:space="preserve"> Фінансове забезпечення Програми</w:t>
      </w:r>
    </w:p>
    <w:p w:rsidR="00D917A9" w:rsidRPr="00251BC3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BC3">
        <w:rPr>
          <w:rFonts w:ascii="Times New Roman" w:hAnsi="Times New Roman"/>
          <w:sz w:val="28"/>
          <w:szCs w:val="28"/>
          <w:lang w:val="uk-UA"/>
        </w:rPr>
        <w:t xml:space="preserve">Джерелом фінансування Програми є сільський бюджет. </w:t>
      </w:r>
    </w:p>
    <w:p w:rsidR="00D917A9" w:rsidRPr="00251BC3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BC3"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здійснюється в межах асигнувань, передбачених в сільському бюджеті на зазначену мету. </w:t>
      </w:r>
    </w:p>
    <w:p w:rsidR="00D917A9" w:rsidRPr="00BF225E" w:rsidRDefault="00D917A9" w:rsidP="00D91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7A9" w:rsidRPr="00BF225E" w:rsidRDefault="00D917A9" w:rsidP="00D917A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V. </w:t>
      </w:r>
      <w:r>
        <w:rPr>
          <w:rFonts w:ascii="Times New Roman" w:hAnsi="Times New Roman"/>
          <w:b/>
          <w:color w:val="000000"/>
          <w:sz w:val="28"/>
          <w:szCs w:val="28"/>
        </w:rPr>
        <w:t>Перелік з</w:t>
      </w:r>
      <w:r w:rsidRPr="00BF225E">
        <w:rPr>
          <w:rFonts w:ascii="Times New Roman" w:hAnsi="Times New Roman"/>
          <w:b/>
          <w:color w:val="000000"/>
          <w:sz w:val="28"/>
          <w:szCs w:val="28"/>
        </w:rPr>
        <w:t>аход</w:t>
      </w:r>
      <w:r>
        <w:rPr>
          <w:rFonts w:ascii="Times New Roman" w:hAnsi="Times New Roman"/>
          <w:b/>
          <w:color w:val="000000"/>
          <w:sz w:val="28"/>
          <w:szCs w:val="28"/>
        </w:rPr>
        <w:t>ів</w:t>
      </w:r>
      <w:r w:rsidRPr="00BF225E">
        <w:rPr>
          <w:rFonts w:ascii="Times New Roman" w:hAnsi="Times New Roman"/>
          <w:b/>
          <w:color w:val="000000"/>
          <w:sz w:val="28"/>
          <w:szCs w:val="28"/>
        </w:rPr>
        <w:t xml:space="preserve"> Програми</w:t>
      </w:r>
    </w:p>
    <w:p w:rsidR="00D917A9" w:rsidRPr="00756BAF" w:rsidRDefault="00D917A9" w:rsidP="00D917A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4528"/>
        <w:gridCol w:w="2529"/>
        <w:gridCol w:w="1406"/>
        <w:gridCol w:w="1134"/>
      </w:tblGrid>
      <w:tr w:rsidR="00D917A9" w:rsidRPr="00251BC3" w:rsidTr="00687085">
        <w:trPr>
          <w:jc w:val="center"/>
        </w:trPr>
        <w:tc>
          <w:tcPr>
            <w:tcW w:w="586" w:type="dxa"/>
            <w:vAlign w:val="center"/>
          </w:tcPr>
          <w:p w:rsidR="00D917A9" w:rsidRPr="00251BC3" w:rsidRDefault="00D917A9" w:rsidP="006870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51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28" w:type="dxa"/>
            <w:vAlign w:val="center"/>
          </w:tcPr>
          <w:p w:rsidR="00D917A9" w:rsidRPr="00251BC3" w:rsidRDefault="00D917A9" w:rsidP="0068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51B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Захід Програми</w:t>
            </w:r>
          </w:p>
        </w:tc>
        <w:tc>
          <w:tcPr>
            <w:tcW w:w="2529" w:type="dxa"/>
            <w:vAlign w:val="center"/>
          </w:tcPr>
          <w:p w:rsidR="00D917A9" w:rsidRPr="00251BC3" w:rsidRDefault="00D917A9" w:rsidP="00687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51B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Відповідальні виконавці</w:t>
            </w:r>
          </w:p>
        </w:tc>
        <w:tc>
          <w:tcPr>
            <w:tcW w:w="1406" w:type="dxa"/>
            <w:vAlign w:val="center"/>
          </w:tcPr>
          <w:p w:rsidR="00D917A9" w:rsidRPr="00251BC3" w:rsidRDefault="00D917A9" w:rsidP="006870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51B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Джерело </w:t>
            </w:r>
            <w:proofErr w:type="spellStart"/>
            <w:r w:rsidRPr="00251B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фінансу-вання</w:t>
            </w:r>
            <w:proofErr w:type="spellEnd"/>
          </w:p>
        </w:tc>
        <w:tc>
          <w:tcPr>
            <w:tcW w:w="1134" w:type="dxa"/>
            <w:vAlign w:val="center"/>
          </w:tcPr>
          <w:p w:rsidR="00D917A9" w:rsidRPr="00251BC3" w:rsidRDefault="00D917A9" w:rsidP="006870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51B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Термін </w:t>
            </w:r>
            <w:proofErr w:type="spellStart"/>
            <w:r w:rsidRPr="00251B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вико-нання</w:t>
            </w:r>
            <w:proofErr w:type="spellEnd"/>
          </w:p>
        </w:tc>
      </w:tr>
      <w:tr w:rsidR="00D917A9" w:rsidRPr="00251BC3" w:rsidTr="00687085">
        <w:trPr>
          <w:jc w:val="center"/>
        </w:trPr>
        <w:tc>
          <w:tcPr>
            <w:tcW w:w="586" w:type="dxa"/>
          </w:tcPr>
          <w:p w:rsidR="00D917A9" w:rsidRPr="00251BC3" w:rsidRDefault="00D917A9" w:rsidP="006870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51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28" w:type="dxa"/>
          </w:tcPr>
          <w:p w:rsidR="00D917A9" w:rsidRPr="00251BC3" w:rsidRDefault="00D917A9" w:rsidP="006870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51BC3">
              <w:rPr>
                <w:rFonts w:ascii="Times New Roman" w:hAnsi="Times New Roman"/>
                <w:sz w:val="28"/>
                <w:szCs w:val="28"/>
              </w:rPr>
              <w:t>Погашення заборгованості за судовими рішеннями про стягнення коштів сільського бюджету,боржниками по яких є виконавчі органи сільської ради, бюджетні установи, заклади, організації та одержувачі бюджетних коштів</w:t>
            </w:r>
          </w:p>
        </w:tc>
        <w:tc>
          <w:tcPr>
            <w:tcW w:w="2529" w:type="dxa"/>
            <w:vAlign w:val="center"/>
          </w:tcPr>
          <w:p w:rsidR="00D917A9" w:rsidRPr="00251BC3" w:rsidRDefault="00D917A9" w:rsidP="006870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51BC3">
              <w:rPr>
                <w:rFonts w:ascii="Times New Roman" w:hAnsi="Times New Roman"/>
                <w:sz w:val="28"/>
                <w:szCs w:val="28"/>
              </w:rPr>
              <w:t>Виконавчі органи сільської ради</w:t>
            </w:r>
          </w:p>
        </w:tc>
        <w:tc>
          <w:tcPr>
            <w:tcW w:w="1406" w:type="dxa"/>
            <w:vAlign w:val="center"/>
          </w:tcPr>
          <w:p w:rsidR="00D917A9" w:rsidRPr="00251BC3" w:rsidRDefault="00D917A9" w:rsidP="006870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1B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сільський бюджет</w:t>
            </w:r>
          </w:p>
        </w:tc>
        <w:tc>
          <w:tcPr>
            <w:tcW w:w="1134" w:type="dxa"/>
            <w:vAlign w:val="center"/>
          </w:tcPr>
          <w:p w:rsidR="00D917A9" w:rsidRPr="00251BC3" w:rsidRDefault="00D917A9" w:rsidP="006870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1B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251B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251B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роки</w:t>
            </w:r>
          </w:p>
        </w:tc>
      </w:tr>
      <w:tr w:rsidR="00D917A9" w:rsidRPr="00251BC3" w:rsidTr="00687085">
        <w:trPr>
          <w:jc w:val="center"/>
        </w:trPr>
        <w:tc>
          <w:tcPr>
            <w:tcW w:w="586" w:type="dxa"/>
          </w:tcPr>
          <w:p w:rsidR="00D917A9" w:rsidRPr="00251BC3" w:rsidRDefault="00D917A9" w:rsidP="006870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51B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28" w:type="dxa"/>
          </w:tcPr>
          <w:p w:rsidR="00D917A9" w:rsidRPr="00251BC3" w:rsidRDefault="00D917A9" w:rsidP="006870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1BC3">
              <w:rPr>
                <w:rFonts w:ascii="Times New Roman" w:hAnsi="Times New Roman"/>
                <w:sz w:val="28"/>
                <w:szCs w:val="28"/>
              </w:rPr>
              <w:t xml:space="preserve">Оплата судового збору, виконавчого збору </w:t>
            </w:r>
            <w:r w:rsidRPr="00251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 примусове виконання рішення</w:t>
            </w:r>
            <w:r w:rsidRPr="00251BC3">
              <w:rPr>
                <w:rFonts w:ascii="Times New Roman" w:hAnsi="Times New Roman"/>
                <w:sz w:val="28"/>
                <w:szCs w:val="28"/>
              </w:rPr>
              <w:t xml:space="preserve"> суду, штрафів, додаткових витрат, які виникли внаслідок несвоєчасного виконання чи невиконання рішення суду, тощо</w:t>
            </w:r>
          </w:p>
        </w:tc>
        <w:tc>
          <w:tcPr>
            <w:tcW w:w="2529" w:type="dxa"/>
            <w:vAlign w:val="center"/>
          </w:tcPr>
          <w:p w:rsidR="00D917A9" w:rsidRPr="00251BC3" w:rsidRDefault="00D917A9" w:rsidP="006870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51BC3">
              <w:rPr>
                <w:rFonts w:ascii="Times New Roman" w:hAnsi="Times New Roman"/>
                <w:sz w:val="28"/>
                <w:szCs w:val="28"/>
              </w:rPr>
              <w:t>Виконавчі органи сільської ради</w:t>
            </w:r>
          </w:p>
        </w:tc>
        <w:tc>
          <w:tcPr>
            <w:tcW w:w="1406" w:type="dxa"/>
            <w:vAlign w:val="center"/>
          </w:tcPr>
          <w:p w:rsidR="00D917A9" w:rsidRPr="00251BC3" w:rsidRDefault="00D917A9" w:rsidP="006870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1B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сільський бюджет</w:t>
            </w:r>
          </w:p>
        </w:tc>
        <w:tc>
          <w:tcPr>
            <w:tcW w:w="1134" w:type="dxa"/>
            <w:vAlign w:val="center"/>
          </w:tcPr>
          <w:p w:rsidR="00D917A9" w:rsidRPr="00251BC3" w:rsidRDefault="00D917A9" w:rsidP="0068708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1B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251B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251B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роки</w:t>
            </w:r>
          </w:p>
        </w:tc>
      </w:tr>
    </w:tbl>
    <w:p w:rsidR="00D917A9" w:rsidRPr="0026026A" w:rsidRDefault="00D917A9" w:rsidP="00D917A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17A9" w:rsidRPr="00BF225E" w:rsidRDefault="00D917A9" w:rsidP="00D917A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</w:rPr>
        <w:t>І</w:t>
      </w:r>
      <w:r w:rsidRPr="00A94B7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A94B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225E">
        <w:rPr>
          <w:rFonts w:ascii="Times New Roman" w:hAnsi="Times New Roman"/>
          <w:b/>
          <w:color w:val="000000"/>
          <w:sz w:val="28"/>
          <w:szCs w:val="28"/>
        </w:rPr>
        <w:t xml:space="preserve">Фінансове забезпечення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реалізації </w:t>
      </w:r>
      <w:r w:rsidRPr="00BF225E">
        <w:rPr>
          <w:rFonts w:ascii="Times New Roman" w:hAnsi="Times New Roman"/>
          <w:b/>
          <w:color w:val="000000"/>
          <w:sz w:val="28"/>
          <w:szCs w:val="28"/>
        </w:rPr>
        <w:t>Програми</w:t>
      </w:r>
    </w:p>
    <w:p w:rsidR="00D917A9" w:rsidRPr="00251BC3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BC3">
        <w:rPr>
          <w:rFonts w:ascii="Times New Roman" w:hAnsi="Times New Roman"/>
          <w:sz w:val="28"/>
          <w:szCs w:val="28"/>
          <w:lang w:val="uk-UA"/>
        </w:rPr>
        <w:t>Виконання Програми здійснюється шляхом реалізації її заходів.</w:t>
      </w:r>
    </w:p>
    <w:p w:rsidR="00D917A9" w:rsidRPr="00251BC3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BC3">
        <w:rPr>
          <w:rFonts w:ascii="Times New Roman" w:hAnsi="Times New Roman"/>
          <w:sz w:val="28"/>
          <w:szCs w:val="28"/>
          <w:lang w:val="uk-UA"/>
        </w:rPr>
        <w:t>Сільська рада, яка  є головним розпорядником бюджетних коштів, забезпечує реалізацію заходів Програми в повному обсязі та у визначені терміни.</w:t>
      </w:r>
    </w:p>
    <w:p w:rsidR="00D917A9" w:rsidRPr="00251BC3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BC3">
        <w:rPr>
          <w:rFonts w:ascii="Times New Roman" w:hAnsi="Times New Roman"/>
          <w:sz w:val="28"/>
          <w:szCs w:val="28"/>
          <w:lang w:val="uk-UA"/>
        </w:rPr>
        <w:t>Загальний контроль за ходом виконання Програми здійснюється: виконавчим комітетом сільської ради, постійними комісіями сільської ради .</w:t>
      </w:r>
    </w:p>
    <w:p w:rsidR="00D917A9" w:rsidRPr="00251BC3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BC3">
        <w:rPr>
          <w:rFonts w:ascii="Times New Roman" w:hAnsi="Times New Roman"/>
          <w:sz w:val="28"/>
          <w:szCs w:val="28"/>
          <w:lang w:val="uk-UA"/>
        </w:rPr>
        <w:t xml:space="preserve">Внесення змін до Програми здійснюватиметься за процедурою внесення змін до рішень сільської ради. </w:t>
      </w:r>
    </w:p>
    <w:p w:rsidR="00D917A9" w:rsidRPr="00251BC3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BC3">
        <w:rPr>
          <w:rFonts w:ascii="Times New Roman" w:hAnsi="Times New Roman"/>
          <w:sz w:val="28"/>
          <w:szCs w:val="28"/>
          <w:lang w:val="uk-UA"/>
        </w:rPr>
        <w:t>Звіт про виконання Програми щорічно виноситься на розгляд виконавчого комітету сільської ради з подальшим схваленням сільською радою.</w:t>
      </w:r>
    </w:p>
    <w:p w:rsidR="00D917A9" w:rsidRPr="00251BC3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1BC3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D917A9" w:rsidRPr="00474D28" w:rsidRDefault="00D917A9" w:rsidP="00D91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7A9" w:rsidRPr="0078302E" w:rsidRDefault="00D917A9" w:rsidP="00D917A9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</w:rPr>
        <w:t>ІІ</w:t>
      </w:r>
      <w:r w:rsidRPr="0078302E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78302E">
        <w:rPr>
          <w:rFonts w:ascii="Times New Roman" w:hAnsi="Times New Roman"/>
          <w:b/>
          <w:sz w:val="28"/>
          <w:szCs w:val="28"/>
          <w:lang w:eastAsia="ru-RU"/>
        </w:rPr>
        <w:t xml:space="preserve"> Очікувані результати виконання Програми</w:t>
      </w:r>
    </w:p>
    <w:p w:rsidR="00D917A9" w:rsidRPr="0026026A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26A">
        <w:rPr>
          <w:rFonts w:ascii="Times New Roman" w:hAnsi="Times New Roman"/>
          <w:sz w:val="28"/>
          <w:szCs w:val="28"/>
          <w:lang w:val="uk-UA"/>
        </w:rPr>
        <w:t>Реалізація Програми надасть можливість:</w:t>
      </w:r>
    </w:p>
    <w:p w:rsidR="00D917A9" w:rsidRPr="0026026A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26A">
        <w:rPr>
          <w:rFonts w:ascii="Times New Roman" w:hAnsi="Times New Roman"/>
          <w:sz w:val="28"/>
          <w:szCs w:val="28"/>
          <w:lang w:val="uk-UA"/>
        </w:rPr>
        <w:t>- зменшити негативні наслідки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26A">
        <w:rPr>
          <w:rFonts w:ascii="Times New Roman" w:hAnsi="Times New Roman"/>
          <w:sz w:val="28"/>
          <w:szCs w:val="28"/>
          <w:lang w:val="uk-UA"/>
        </w:rPr>
        <w:t>невиконання судових рішень</w:t>
      </w:r>
      <w:r>
        <w:rPr>
          <w:rFonts w:ascii="Times New Roman" w:hAnsi="Times New Roman"/>
          <w:sz w:val="28"/>
          <w:szCs w:val="28"/>
          <w:lang w:val="uk-UA"/>
        </w:rPr>
        <w:t xml:space="preserve"> (блокування рахунків, накладення штрафу, тощо) </w:t>
      </w:r>
      <w:r w:rsidRPr="0026026A">
        <w:rPr>
          <w:rFonts w:ascii="Times New Roman" w:hAnsi="Times New Roman"/>
          <w:sz w:val="28"/>
          <w:szCs w:val="28"/>
          <w:lang w:val="uk-UA"/>
        </w:rPr>
        <w:t>;</w:t>
      </w:r>
    </w:p>
    <w:p w:rsidR="00D917A9" w:rsidRPr="0026026A" w:rsidRDefault="00D917A9" w:rsidP="00D917A9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026A">
        <w:rPr>
          <w:rFonts w:ascii="Times New Roman" w:hAnsi="Times New Roman"/>
          <w:sz w:val="28"/>
          <w:szCs w:val="28"/>
          <w:lang w:val="uk-UA"/>
        </w:rPr>
        <w:t xml:space="preserve">- забезпечити виконання рішень судів про стягнення коштів </w:t>
      </w:r>
      <w:r>
        <w:rPr>
          <w:rFonts w:ascii="Times New Roman" w:hAnsi="Times New Roman"/>
          <w:sz w:val="28"/>
          <w:szCs w:val="28"/>
          <w:lang w:val="uk-UA"/>
        </w:rPr>
        <w:t>з боржників, які отримують кошти з міського</w:t>
      </w:r>
      <w:r w:rsidRPr="0026026A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17A9" w:rsidRDefault="00D917A9" w:rsidP="00D917A9">
      <w:pPr>
        <w:spacing w:after="0"/>
        <w:ind w:left="-567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D917A9" w:rsidRPr="00251BC3" w:rsidRDefault="00D917A9" w:rsidP="00D917A9">
      <w:pPr>
        <w:pStyle w:val="Default"/>
        <w:ind w:left="36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ІІІ.</w:t>
      </w:r>
      <w:proofErr w:type="gramEnd"/>
      <w:r>
        <w:rPr>
          <w:b/>
          <w:sz w:val="28"/>
          <w:szCs w:val="28"/>
        </w:rPr>
        <w:t xml:space="preserve"> </w:t>
      </w:r>
      <w:r w:rsidRPr="00251BC3">
        <w:rPr>
          <w:b/>
          <w:bCs/>
          <w:sz w:val="28"/>
          <w:szCs w:val="28"/>
        </w:rPr>
        <w:t>Індикатори реалізації Програми</w:t>
      </w:r>
    </w:p>
    <w:p w:rsidR="00D917A9" w:rsidRPr="00251BC3" w:rsidRDefault="00D917A9" w:rsidP="00D917A9">
      <w:pPr>
        <w:pStyle w:val="Default"/>
        <w:ind w:left="-284" w:firstLine="426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1590"/>
        <w:gridCol w:w="1422"/>
        <w:gridCol w:w="1162"/>
        <w:gridCol w:w="1162"/>
        <w:gridCol w:w="1162"/>
      </w:tblGrid>
      <w:tr w:rsidR="00D917A9" w:rsidRPr="00251BC3" w:rsidTr="00687085">
        <w:tc>
          <w:tcPr>
            <w:tcW w:w="3192" w:type="dxa"/>
            <w:vAlign w:val="center"/>
          </w:tcPr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Ключові індикатори</w:t>
            </w:r>
          </w:p>
        </w:tc>
        <w:tc>
          <w:tcPr>
            <w:tcW w:w="1590" w:type="dxa"/>
            <w:vAlign w:val="center"/>
          </w:tcPr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р. очікуваний</w:t>
            </w:r>
          </w:p>
        </w:tc>
        <w:tc>
          <w:tcPr>
            <w:tcW w:w="1422" w:type="dxa"/>
            <w:vAlign w:val="center"/>
          </w:tcPr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2020р.</w:t>
            </w:r>
          </w:p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прогноз</w:t>
            </w:r>
          </w:p>
        </w:tc>
        <w:tc>
          <w:tcPr>
            <w:tcW w:w="1162" w:type="dxa"/>
            <w:vAlign w:val="center"/>
          </w:tcPr>
          <w:p w:rsidR="00D917A9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2020р.</w:t>
            </w:r>
          </w:p>
          <w:p w:rsidR="00D917A9" w:rsidRDefault="00D917A9" w:rsidP="00687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51BC3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2020р.</w:t>
            </w:r>
          </w:p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прогноз</w:t>
            </w:r>
          </w:p>
        </w:tc>
        <w:tc>
          <w:tcPr>
            <w:tcW w:w="1162" w:type="dxa"/>
            <w:vAlign w:val="center"/>
          </w:tcPr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2020р.</w:t>
            </w:r>
          </w:p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прогноз</w:t>
            </w:r>
          </w:p>
        </w:tc>
      </w:tr>
      <w:tr w:rsidR="00D917A9" w:rsidRPr="00251BC3" w:rsidTr="00687085">
        <w:tc>
          <w:tcPr>
            <w:tcW w:w="3192" w:type="dxa"/>
            <w:vAlign w:val="center"/>
          </w:tcPr>
          <w:p w:rsidR="00D917A9" w:rsidRPr="00251BC3" w:rsidRDefault="00D917A9" w:rsidP="00687085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Кількість рішень суду щодо безспірного списання коштів сільського бюджету, боржниками по яких є виконавчі органи сільської ради (од.)</w:t>
            </w:r>
          </w:p>
        </w:tc>
        <w:tc>
          <w:tcPr>
            <w:tcW w:w="1590" w:type="dxa"/>
            <w:vAlign w:val="center"/>
          </w:tcPr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08" w:type="dxa"/>
            <w:gridSpan w:val="4"/>
            <w:vAlign w:val="center"/>
          </w:tcPr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по мірі надходження таких рішень</w:t>
            </w:r>
          </w:p>
        </w:tc>
      </w:tr>
      <w:tr w:rsidR="00D917A9" w:rsidRPr="00251BC3" w:rsidTr="00687085">
        <w:tc>
          <w:tcPr>
            <w:tcW w:w="3192" w:type="dxa"/>
            <w:vAlign w:val="center"/>
          </w:tcPr>
          <w:p w:rsidR="00D917A9" w:rsidRPr="00251BC3" w:rsidRDefault="00D917A9" w:rsidP="00687085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Сума заборгованості, що підлягає безспірному списанню відповідно до рішень суду (</w:t>
            </w:r>
            <w:proofErr w:type="spellStart"/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D917A9" w:rsidRPr="00251BC3" w:rsidRDefault="00D917A9" w:rsidP="00687085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08" w:type="dxa"/>
            <w:gridSpan w:val="4"/>
            <w:vAlign w:val="center"/>
          </w:tcPr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по мірі надходження таких рішень</w:t>
            </w:r>
          </w:p>
        </w:tc>
      </w:tr>
      <w:tr w:rsidR="00D917A9" w:rsidRPr="00251BC3" w:rsidTr="00687085">
        <w:tc>
          <w:tcPr>
            <w:tcW w:w="3192" w:type="dxa"/>
            <w:vAlign w:val="center"/>
          </w:tcPr>
          <w:p w:rsidR="00D917A9" w:rsidRPr="00251BC3" w:rsidRDefault="00D917A9" w:rsidP="00687085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Сума судового збору, виконавчого збору, штрафів  та додаткових витрат, які виникли внаслідок несвоєчасного виконання чи невиконання рішення суду, та підлягають відшкодуванню (</w:t>
            </w:r>
            <w:proofErr w:type="spellStart"/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590" w:type="dxa"/>
            <w:vAlign w:val="center"/>
          </w:tcPr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08" w:type="dxa"/>
            <w:gridSpan w:val="4"/>
            <w:vAlign w:val="center"/>
          </w:tcPr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по мірі надходження таких рішень</w:t>
            </w:r>
          </w:p>
        </w:tc>
      </w:tr>
      <w:tr w:rsidR="00D917A9" w:rsidRPr="00251BC3" w:rsidTr="00687085">
        <w:tc>
          <w:tcPr>
            <w:tcW w:w="3192" w:type="dxa"/>
            <w:vAlign w:val="center"/>
          </w:tcPr>
          <w:p w:rsidR="00D917A9" w:rsidRPr="00251BC3" w:rsidRDefault="00D917A9" w:rsidP="00687085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Сума фактичного погашення заборгованості, що підлягала безспірному списанню відповідно до </w:t>
            </w: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рішення суду (</w:t>
            </w:r>
            <w:proofErr w:type="spellStart"/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6498" w:type="dxa"/>
            <w:gridSpan w:val="5"/>
            <w:vAlign w:val="center"/>
          </w:tcPr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 результатами річного звіту про виконання сільського бюджету</w:t>
            </w:r>
          </w:p>
        </w:tc>
      </w:tr>
      <w:tr w:rsidR="00D917A9" w:rsidRPr="00251BC3" w:rsidTr="00687085">
        <w:tc>
          <w:tcPr>
            <w:tcW w:w="3192" w:type="dxa"/>
            <w:vAlign w:val="center"/>
          </w:tcPr>
          <w:p w:rsidR="00D917A9" w:rsidRPr="00251BC3" w:rsidRDefault="00D917A9" w:rsidP="00687085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Сума фактичного відшкодування судового збору, виконавчого збору, штрафів  та додаткових витрат, які виникли внаслідок несвоєчасного виконання чи невиконання рішення суду, тощо (</w:t>
            </w:r>
            <w:proofErr w:type="spellStart"/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6498" w:type="dxa"/>
            <w:gridSpan w:val="5"/>
            <w:vAlign w:val="center"/>
          </w:tcPr>
          <w:p w:rsidR="00D917A9" w:rsidRPr="00251BC3" w:rsidRDefault="00D917A9" w:rsidP="0068708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BC3">
              <w:rPr>
                <w:rFonts w:ascii="Times New Roman" w:hAnsi="Times New Roman"/>
                <w:sz w:val="28"/>
                <w:szCs w:val="28"/>
                <w:lang w:val="uk-UA"/>
              </w:rPr>
              <w:t>за результатами річного звіту про виконання сільського бюджету</w:t>
            </w:r>
          </w:p>
        </w:tc>
      </w:tr>
    </w:tbl>
    <w:p w:rsidR="00D917A9" w:rsidRPr="00251BC3" w:rsidRDefault="00D917A9" w:rsidP="00D917A9">
      <w:pPr>
        <w:pStyle w:val="11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7A9" w:rsidRDefault="00D917A9" w:rsidP="00D917A9">
      <w:pPr>
        <w:spacing w:after="0"/>
        <w:ind w:left="-567" w:firstLine="4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917A9" w:rsidRPr="00251BC3" w:rsidRDefault="00D917A9" w:rsidP="00D917A9">
      <w:pPr>
        <w:spacing w:after="0"/>
        <w:ind w:left="-567" w:firstLine="4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917A9" w:rsidRPr="00251BC3" w:rsidRDefault="00D917A9" w:rsidP="00D917A9">
      <w:pPr>
        <w:spacing w:after="0"/>
        <w:rPr>
          <w:rFonts w:ascii="Times New Roman" w:hAnsi="Times New Roman"/>
          <w:sz w:val="28"/>
          <w:szCs w:val="28"/>
        </w:rPr>
      </w:pPr>
      <w:r w:rsidRPr="00251BC3">
        <w:rPr>
          <w:rFonts w:ascii="Times New Roman" w:hAnsi="Times New Roman"/>
          <w:b/>
          <w:sz w:val="28"/>
          <w:szCs w:val="28"/>
        </w:rPr>
        <w:t xml:space="preserve">        </w:t>
      </w:r>
      <w:r w:rsidRPr="00251BC3">
        <w:rPr>
          <w:rFonts w:ascii="Times New Roman" w:hAnsi="Times New Roman"/>
          <w:sz w:val="28"/>
          <w:szCs w:val="28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</w:rPr>
        <w:t>І.ПУЛЯЄВА</w:t>
      </w:r>
      <w:r w:rsidRPr="00251BC3">
        <w:rPr>
          <w:rFonts w:ascii="Times New Roman" w:hAnsi="Times New Roman"/>
          <w:sz w:val="28"/>
          <w:szCs w:val="28"/>
        </w:rPr>
        <w:t xml:space="preserve">               </w:t>
      </w:r>
    </w:p>
    <w:p w:rsidR="00D917A9" w:rsidRPr="00251BC3" w:rsidRDefault="00D917A9" w:rsidP="00D917A9">
      <w:pPr>
        <w:rPr>
          <w:rFonts w:ascii="Times New Roman" w:hAnsi="Times New Roman"/>
          <w:sz w:val="28"/>
          <w:szCs w:val="28"/>
        </w:rPr>
      </w:pPr>
    </w:p>
    <w:p w:rsidR="00D917A9" w:rsidRPr="00251BC3" w:rsidRDefault="00D917A9" w:rsidP="00D917A9">
      <w:pPr>
        <w:rPr>
          <w:rFonts w:ascii="Times New Roman" w:hAnsi="Times New Roman"/>
          <w:sz w:val="28"/>
          <w:szCs w:val="28"/>
        </w:rPr>
      </w:pPr>
    </w:p>
    <w:p w:rsidR="00D917A9" w:rsidRPr="00251BC3" w:rsidRDefault="00D917A9" w:rsidP="00D917A9">
      <w:pPr>
        <w:rPr>
          <w:rFonts w:ascii="Times New Roman" w:hAnsi="Times New Roman"/>
          <w:sz w:val="28"/>
          <w:szCs w:val="28"/>
        </w:rPr>
      </w:pPr>
    </w:p>
    <w:p w:rsidR="00D917A9" w:rsidRPr="00251BC3" w:rsidRDefault="00D917A9" w:rsidP="00D917A9">
      <w:pPr>
        <w:rPr>
          <w:rFonts w:ascii="Times New Roman" w:hAnsi="Times New Roman"/>
          <w:sz w:val="28"/>
          <w:szCs w:val="28"/>
        </w:rPr>
      </w:pPr>
    </w:p>
    <w:p w:rsidR="00D917A9" w:rsidRPr="00251BC3" w:rsidRDefault="00D917A9" w:rsidP="00D917A9">
      <w:pPr>
        <w:rPr>
          <w:rFonts w:ascii="Times New Roman" w:hAnsi="Times New Roman"/>
          <w:sz w:val="28"/>
          <w:szCs w:val="28"/>
        </w:rPr>
      </w:pPr>
    </w:p>
    <w:p w:rsidR="00D917A9" w:rsidRPr="00251BC3" w:rsidRDefault="00D917A9" w:rsidP="00D917A9">
      <w:pPr>
        <w:rPr>
          <w:rFonts w:ascii="Times New Roman" w:hAnsi="Times New Roman"/>
          <w:sz w:val="28"/>
          <w:szCs w:val="28"/>
        </w:rPr>
      </w:pPr>
    </w:p>
    <w:p w:rsidR="00B93EAB" w:rsidRPr="006717AC" w:rsidRDefault="00B93EAB" w:rsidP="00FB64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bookmarkStart w:id="0" w:name="_GoBack"/>
      <w:bookmarkEnd w:id="0"/>
    </w:p>
    <w:sectPr w:rsidR="00B93EAB" w:rsidRPr="006717AC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D917A9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D917A9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B5CDE"/>
    <w:rsid w:val="00262D33"/>
    <w:rsid w:val="002A5D9C"/>
    <w:rsid w:val="002A7151"/>
    <w:rsid w:val="00366D3B"/>
    <w:rsid w:val="00417650"/>
    <w:rsid w:val="00644F9A"/>
    <w:rsid w:val="0064507E"/>
    <w:rsid w:val="006717AC"/>
    <w:rsid w:val="00871E0F"/>
    <w:rsid w:val="008869E6"/>
    <w:rsid w:val="008A3E3C"/>
    <w:rsid w:val="008C38CD"/>
    <w:rsid w:val="00A257F7"/>
    <w:rsid w:val="00AF48BC"/>
    <w:rsid w:val="00B93EAB"/>
    <w:rsid w:val="00BC2C39"/>
    <w:rsid w:val="00D917A9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ed_2016_10_11/pravo1/KP110845.html?prav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2019-08-02T10:10:00Z</dcterms:created>
  <dcterms:modified xsi:type="dcterms:W3CDTF">2019-08-02T10:10:00Z</dcterms:modified>
</cp:coreProperties>
</file>