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9" w:rsidRPr="00AD45D0" w:rsidRDefault="00CB3B09" w:rsidP="00CB3B09">
      <w:pPr>
        <w:spacing w:line="192" w:lineRule="auto"/>
        <w:ind w:right="266"/>
        <w:jc w:val="center"/>
        <w:rPr>
          <w:b/>
          <w:sz w:val="28"/>
          <w:szCs w:val="28"/>
        </w:rPr>
      </w:pPr>
      <w:r w:rsidRPr="00AD45D0">
        <w:rPr>
          <w:b/>
          <w:sz w:val="28"/>
          <w:szCs w:val="28"/>
        </w:rPr>
        <w:t xml:space="preserve">ПЕРЕЛІК АДМІНІСТРАТИВНИХ ПОСЛУГ, ЩО НАДАЮТЬСЯ ВИКОНАВЧИМ КОМІТЕТОМ </w:t>
      </w:r>
      <w:r w:rsidR="00C42544">
        <w:rPr>
          <w:b/>
          <w:sz w:val="28"/>
          <w:szCs w:val="28"/>
        </w:rPr>
        <w:t>ЩАСЛИВЦЕВСЬКОЇ</w:t>
      </w:r>
      <w:r w:rsidRPr="00AD45D0">
        <w:rPr>
          <w:b/>
          <w:sz w:val="28"/>
          <w:szCs w:val="28"/>
        </w:rPr>
        <w:t xml:space="preserve"> СІЛЬСЬКОЇ РАДИ</w:t>
      </w:r>
    </w:p>
    <w:p w:rsidR="00CB3B09" w:rsidRPr="00AD45D0" w:rsidRDefault="00CB3B09" w:rsidP="00CB3B09">
      <w:pPr>
        <w:spacing w:line="192" w:lineRule="auto"/>
        <w:ind w:right="266"/>
        <w:jc w:val="center"/>
        <w:rPr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4"/>
        <w:gridCol w:w="4820"/>
        <w:gridCol w:w="1843"/>
        <w:gridCol w:w="1984"/>
      </w:tblGrid>
      <w:tr w:rsidR="00CB3B09" w:rsidRPr="00AD45D0" w:rsidTr="00316B0B">
        <w:trPr>
          <w:trHeight w:val="62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Реєстрація народження дитини</w:t>
            </w:r>
          </w:p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EC329B">
            <w:pPr>
              <w:snapToGrid w:val="0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Сімейний кодекс України, Цивільний кодекс України,  Закон України  «Про державну реєстрацію актів цивільного стану» від </w:t>
            </w:r>
            <w:r w:rsidR="00EC329B">
              <w:rPr>
                <w:rStyle w:val="FontStyle15"/>
                <w:rFonts w:eastAsiaTheme="majorEastAsia"/>
                <w:sz w:val="28"/>
                <w:szCs w:val="28"/>
              </w:rPr>
              <w:t>04.02.2019</w:t>
            </w: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62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Реєстрація шлюбу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Сімейний кодекс України, Цивільний кодекс України,  Закон України  «Про державну реєстрацію актів цивільного стану» від </w:t>
            </w:r>
            <w:r w:rsidR="00EC329B">
              <w:rPr>
                <w:rStyle w:val="FontStyle15"/>
                <w:rFonts w:eastAsiaTheme="majorEastAsia"/>
                <w:sz w:val="28"/>
                <w:szCs w:val="28"/>
              </w:rPr>
              <w:t>04.02.2019</w:t>
            </w:r>
            <w:r w:rsidR="00EC329B"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</w:t>
            </w: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0.85 </w:t>
            </w:r>
            <w:proofErr w:type="spellStart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64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Реєстрація смерті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Сімейний кодекс України, Цивільний кодекс України,  Закон України  «Про державну реєстрацію актів цивільного стану» від </w:t>
            </w:r>
            <w:r w:rsidR="00EC329B">
              <w:rPr>
                <w:rStyle w:val="FontStyle15"/>
                <w:rFonts w:eastAsiaTheme="majorEastAsia"/>
                <w:sz w:val="28"/>
                <w:szCs w:val="28"/>
              </w:rPr>
              <w:t>04.02.2019</w:t>
            </w:r>
            <w:r w:rsidR="00EC329B"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38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Укладення заповіту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0.85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заповіт</w:t>
            </w:r>
          </w:p>
        </w:tc>
      </w:tr>
      <w:tr w:rsidR="00CB3B09" w:rsidRPr="00AD45D0" w:rsidTr="00316B0B">
        <w:trPr>
          <w:trHeight w:val="34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B3B09" w:rsidRPr="00AD45D0" w:rsidRDefault="00EC329B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42544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0.34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proofErr w:type="spellStart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довіренність</w:t>
            </w:r>
            <w:proofErr w:type="spellEnd"/>
          </w:p>
        </w:tc>
      </w:tr>
      <w:tr w:rsidR="00CB3B09" w:rsidRPr="00AD45D0" w:rsidTr="00316B0B">
        <w:trPr>
          <w:trHeight w:val="32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Посвідчення вірності підпису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0.34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--</w:t>
            </w:r>
          </w:p>
        </w:tc>
      </w:tr>
      <w:tr w:rsidR="00CB3B09" w:rsidRPr="00AD45D0" w:rsidTr="00316B0B">
        <w:trPr>
          <w:trHeight w:val="140"/>
        </w:trPr>
        <w:tc>
          <w:tcPr>
            <w:tcW w:w="567" w:type="dxa"/>
          </w:tcPr>
          <w:p w:rsidR="00CB3B09" w:rsidRPr="00AD45D0" w:rsidRDefault="00EC329B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Посвідчення вірності копії з оригіналом документа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0.17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--</w:t>
            </w:r>
          </w:p>
        </w:tc>
      </w:tr>
      <w:tr w:rsidR="00CB3B09" w:rsidRPr="00AD45D0" w:rsidTr="00316B0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EC329B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Реєстрація місця проживання громадян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 xml:space="preserve">Виконком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Закон України « Про свободу пересування та вільний вибір місця проживання в Україні» від 11.12.2003 року №1382-ІУ.Постанова КМУ від 28.07.2004року № 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13,60 </w:t>
            </w:r>
            <w:proofErr w:type="spellStart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державно мито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</w:p>
        </w:tc>
      </w:tr>
      <w:tr w:rsidR="00CB3B09" w:rsidRPr="00AD45D0" w:rsidTr="00316B0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Зняття з місця  реєстрації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>Виконком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  <w:lang w:val="uk-UA"/>
              </w:rPr>
              <w:t>Закон України « Про свободу пересування та вільний вибір місця проживання в Україні» від 11.12.2003 року №1382-ІУ.Постанова КМУ від 28.07.2004року № 985</w:t>
            </w:r>
          </w:p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42544" w:rsidP="00316B0B">
            <w:pPr>
              <w:rPr>
                <w:rStyle w:val="FontStyle15"/>
                <w:rFonts w:eastAsiaTheme="majorEastAsia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13,60 </w:t>
            </w:r>
            <w:proofErr w:type="spellStart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sz w:val="28"/>
                <w:szCs w:val="28"/>
              </w:rPr>
              <w:t xml:space="preserve"> державно мито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sz w:val="28"/>
                <w:szCs w:val="28"/>
                <w:lang w:val="uk-UA"/>
              </w:rPr>
            </w:pPr>
          </w:p>
        </w:tc>
      </w:tr>
    </w:tbl>
    <w:p w:rsidR="007C6106" w:rsidRDefault="007C6106"/>
    <w:sectPr w:rsidR="007C6106" w:rsidSect="00CB3B09">
      <w:pgSz w:w="16838" w:h="11906" w:orient="landscape"/>
      <w:pgMar w:top="1701" w:right="227" w:bottom="567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9"/>
    <w:rsid w:val="00180B24"/>
    <w:rsid w:val="003C506E"/>
    <w:rsid w:val="005C4F55"/>
    <w:rsid w:val="005D2981"/>
    <w:rsid w:val="005F40FA"/>
    <w:rsid w:val="00733EF6"/>
    <w:rsid w:val="007C6106"/>
    <w:rsid w:val="00C42544"/>
    <w:rsid w:val="00CB3B09"/>
    <w:rsid w:val="00E012AB"/>
    <w:rsid w:val="00EC329B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character" w:customStyle="1" w:styleId="FontStyle15">
    <w:name w:val="Font Style15"/>
    <w:basedOn w:val="a0"/>
    <w:rsid w:val="00CB3B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CB3B09"/>
    <w:pPr>
      <w:spacing w:line="199" w:lineRule="exact"/>
      <w:jc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character" w:customStyle="1" w:styleId="FontStyle15">
    <w:name w:val="Font Style15"/>
    <w:basedOn w:val="a0"/>
    <w:rsid w:val="00CB3B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CB3B09"/>
    <w:pPr>
      <w:spacing w:line="199" w:lineRule="exact"/>
      <w:jc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2019-04-04T07:11:00Z</cp:lastPrinted>
  <dcterms:created xsi:type="dcterms:W3CDTF">2019-02-21T12:04:00Z</dcterms:created>
  <dcterms:modified xsi:type="dcterms:W3CDTF">2019-04-04T11:18:00Z</dcterms:modified>
</cp:coreProperties>
</file>